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1E3E6" w14:textId="10A9DEE0" w:rsidR="007521A8" w:rsidRPr="00ED6FE7" w:rsidRDefault="00B1627C" w:rsidP="00ED6FE7">
      <w:r>
        <w:rPr>
          <w:noProof/>
        </w:rPr>
        <mc:AlternateContent>
          <mc:Choice Requires="wps">
            <w:drawing>
              <wp:anchor distT="0" distB="0" distL="114300" distR="114300" simplePos="0" relativeHeight="251653631" behindDoc="0" locked="0" layoutInCell="1" allowOverlap="1" wp14:anchorId="5FD7F231" wp14:editId="58411317">
                <wp:simplePos x="0" y="0"/>
                <wp:positionH relativeFrom="column">
                  <wp:posOffset>-1028700</wp:posOffset>
                </wp:positionH>
                <wp:positionV relativeFrom="paragraph">
                  <wp:posOffset>-1372870</wp:posOffset>
                </wp:positionV>
                <wp:extent cx="6772275" cy="1152525"/>
                <wp:effectExtent l="19050" t="19050" r="47625" b="47625"/>
                <wp:wrapNone/>
                <wp:docPr id="1042252246" name="Rectangle: Rounded Corners 2"/>
                <wp:cNvGraphicFramePr/>
                <a:graphic xmlns:a="http://schemas.openxmlformats.org/drawingml/2006/main">
                  <a:graphicData uri="http://schemas.microsoft.com/office/word/2010/wordprocessingShape">
                    <wps:wsp>
                      <wps:cNvSpPr/>
                      <wps:spPr>
                        <a:xfrm>
                          <a:off x="0" y="0"/>
                          <a:ext cx="6772275" cy="1152525"/>
                        </a:xfrm>
                        <a:prstGeom prst="roundRect">
                          <a:avLst>
                            <a:gd name="adj" fmla="val 50000"/>
                          </a:avLst>
                        </a:prstGeom>
                        <a:solidFill>
                          <a:srgbClr val="C00000"/>
                        </a:solidFill>
                        <a:ln w="57150">
                          <a:solidFill>
                            <a:srgbClr val="FFB7B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1849BF" id="Rectangle: Rounded Corners 2" o:spid="_x0000_s1026" style="position:absolute;margin-left:-81pt;margin-top:-108.1pt;width:533.25pt;height:90.75pt;z-index:2516536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" fillcolor="#c00000" strokecolor="#ffb7b7" strokeweight="4.5pt">
                <v:stroke joinstyle="miter"/>
              </v:roundrect>
            </w:pict>
          </mc:Fallback>
        </mc:AlternateContent>
      </w:r>
      <w:r w:rsidR="00DC0388" w:rsidRPr="006E2A69">
        <w:rPr>
          <w:rStyle w:val="Heading2Char"/>
          <w:noProof/>
        </w:rPr>
        <mc:AlternateContent>
          <mc:Choice Requires="wps">
            <w:drawing>
              <wp:anchor distT="45720" distB="45720" distL="114300" distR="114300" simplePos="0" relativeHeight="251654656" behindDoc="0" locked="0" layoutInCell="1" allowOverlap="1" wp14:anchorId="06054094" wp14:editId="0CEA5A4C">
                <wp:simplePos x="0" y="0"/>
                <wp:positionH relativeFrom="column">
                  <wp:posOffset>-107343</wp:posOffset>
                </wp:positionH>
                <wp:positionV relativeFrom="paragraph">
                  <wp:posOffset>-1302468</wp:posOffset>
                </wp:positionV>
                <wp:extent cx="6504167" cy="10191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167" cy="1019175"/>
                        </a:xfrm>
                        <a:prstGeom prst="rect">
                          <a:avLst/>
                        </a:prstGeom>
                        <a:noFill/>
                        <a:ln w="9525">
                          <a:noFill/>
                          <a:miter lim="800000"/>
                          <a:headEnd/>
                          <a:tailEnd/>
                        </a:ln>
                      </wps:spPr>
                      <wps:txbx>
                        <w:txbxContent>
                          <w:p w14:paraId="1745D87C" w14:textId="77777777" w:rsidR="00DC0388" w:rsidRDefault="00DC0388" w:rsidP="00DC0388">
                            <w:pPr>
                              <w:pStyle w:val="Title"/>
                            </w:pPr>
                            <w:r>
                              <w:t>Strategies for tackling plagiarism through assessment design</w:t>
                            </w:r>
                          </w:p>
                          <w:p w14:paraId="6D8EBBBA" w14:textId="77777777" w:rsidR="00A71945" w:rsidRPr="000F1F2E" w:rsidRDefault="00A71945" w:rsidP="000F1F2E">
                            <w:pPr>
                              <w:pStyle w:val="Titl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054094" id="_x0000_t202" coordsize="21600,21600" o:spt="202" path="m,l,21600r21600,l21600,xe">
                <v:stroke joinstyle="miter"/>
                <v:path gradientshapeok="t" o:connecttype="rect"/>
              </v:shapetype>
              <v:shape id="Text Box 2" o:spid="_x0000_s1026" type="#_x0000_t202" style="position:absolute;margin-left:-8.45pt;margin-top:-102.55pt;width:512.15pt;height:80.2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" filled="f" stroked="f">
                <v:textbox>
                  <w:txbxContent>
                    <w:p w14:paraId="1745D87C" w14:textId="77777777" w:rsidR="00DC0388" w:rsidRDefault="00DC0388" w:rsidP="00DC0388">
                      <w:pPr>
                        <w:pStyle w:val="Title"/>
                      </w:pPr>
                      <w:r>
                        <w:t>Strategies for tackling plagiarism through assessment design</w:t>
                      </w:r>
                    </w:p>
                    <w:p w14:paraId="6D8EBBBA" w14:textId="77777777" w:rsidR="00A71945" w:rsidRPr="000F1F2E" w:rsidRDefault="00A71945" w:rsidP="000F1F2E">
                      <w:pPr>
                        <w:pStyle w:val="Title"/>
                      </w:pPr>
                    </w:p>
                  </w:txbxContent>
                </v:textbox>
              </v:shape>
            </w:pict>
          </mc:Fallback>
        </mc:AlternateContent>
      </w:r>
      <w:r w:rsidR="00ED6FE7" w:rsidRPr="006E2A69">
        <w:rPr>
          <w:rStyle w:val="Heading2Char"/>
        </w:rPr>
        <w:t>Thi</w:t>
      </w:r>
      <w:r w:rsidR="00DC0388" w:rsidRPr="006E2A69">
        <w:rPr>
          <w:rStyle w:val="Heading2Char"/>
        </w:rPr>
        <w:t>s guide aims to encourage and develop effective practice in the design of assessments that best allow students to demonstrate their achievement of expected learning outcomes without inadvertently providing opportunities for plagiarism, including discouraging the use of commissioning assessable work from outside source</w:t>
      </w:r>
      <w:r w:rsidR="006E2A69">
        <w:rPr>
          <w:rStyle w:val="Heading2Char"/>
        </w:rPr>
        <w:t>s.</w:t>
      </w:r>
    </w:p>
    <w:p w14:paraId="16C0F2BB" w14:textId="77777777" w:rsidR="007521A8" w:rsidRDefault="007521A8" w:rsidP="006E2A69">
      <w:pPr>
        <w:spacing w:before="240"/>
      </w:pPr>
      <w:r w:rsidRPr="005A1B22">
        <w:t xml:space="preserve">It is important to note that Lancaster University operates a </w:t>
      </w:r>
      <w:hyperlink r:id="rId7" w:history="1">
        <w:r w:rsidRPr="007521A8">
          <w:rPr>
            <w:rStyle w:val="Hyperlink"/>
            <w:rFonts w:asciiTheme="majorHAnsi" w:hAnsiTheme="majorHAnsi" w:cstheme="majorHAnsi"/>
            <w:sz w:val="24"/>
            <w:szCs w:val="24"/>
          </w:rPr>
          <w:t>Plagiarism Framework</w:t>
        </w:r>
      </w:hyperlink>
      <w:r w:rsidRPr="007521A8">
        <w:rPr>
          <w:rFonts w:asciiTheme="majorHAnsi" w:hAnsiTheme="majorHAnsi" w:cstheme="majorHAnsi"/>
          <w:szCs w:val="24"/>
        </w:rPr>
        <w:t>.</w:t>
      </w:r>
      <w:r w:rsidRPr="005A1B22">
        <w:t xml:space="preserve"> The framework clarifies Lancaster’s position on plagiarism, provides general guidance for the prevention and detection of plagiarism, and details the procedures for managing instances of </w:t>
      </w:r>
      <w:r>
        <w:t>plagiarism.</w:t>
      </w:r>
    </w:p>
    <w:p w14:paraId="032CB34C" w14:textId="77777777" w:rsidR="007521A8" w:rsidRDefault="007521A8" w:rsidP="00B722BE">
      <w:pPr>
        <w:pStyle w:val="Heading3"/>
        <w:spacing w:after="0"/>
      </w:pPr>
      <w:r>
        <w:t>What is plagiarism?</w:t>
      </w:r>
    </w:p>
    <w:p w14:paraId="64E72966" w14:textId="77777777" w:rsidR="007521A8" w:rsidRPr="006E2A69" w:rsidRDefault="007521A8" w:rsidP="006E2A69">
      <w:pPr>
        <w:pStyle w:val="IntenseQuote"/>
        <w:ind w:left="0" w:right="186"/>
        <w:rPr>
          <w:rStyle w:val="Emphasis"/>
          <w:i w:val="0"/>
          <w:iCs/>
        </w:rPr>
      </w:pPr>
      <w:r w:rsidRPr="006E2A69">
        <w:rPr>
          <w:rStyle w:val="Emphasis"/>
          <w:i w:val="0"/>
          <w:iCs/>
        </w:rPr>
        <w:t xml:space="preserve">Plagiarism involves the unacknowledged use of someone else’s work and passing it off as if it were one’s own. This may occur for many reasons. For example, the University recognises that students may submit plagiarised work because of poorly developed study skills (e.g. inadequate paraphrasing), and that some students, particularly those from different cultures and educational systems, may find UK academic referencing/acknowledgement systems and conventions unfamiliar. </w:t>
      </w:r>
    </w:p>
    <w:p w14:paraId="132C1024" w14:textId="77777777" w:rsidR="007521A8" w:rsidRPr="006E2A69" w:rsidRDefault="007521A8" w:rsidP="006E2A69">
      <w:pPr>
        <w:pStyle w:val="IntenseQuote"/>
        <w:ind w:left="0" w:right="186"/>
        <w:rPr>
          <w:rStyle w:val="Emphasis"/>
          <w:i w:val="0"/>
          <w:iCs/>
        </w:rPr>
      </w:pPr>
      <w:r w:rsidRPr="006E2A69">
        <w:rPr>
          <w:rStyle w:val="Emphasis"/>
          <w:i w:val="0"/>
          <w:iCs/>
        </w:rPr>
        <w:t xml:space="preserve">However, some students do plagiarise deliberately, sometimes because they are unable or unwilling to do the required work, </w:t>
      </w:r>
      <w:r w:rsidRPr="006E2A69">
        <w:rPr>
          <w:rStyle w:val="Emphasis"/>
          <w:i w:val="0"/>
          <w:iCs/>
        </w:rPr>
        <w:t>and with the intent to deceive and gain academic benefit. This is a conscious, pre-meditated form of cheating and is regarded as a serious breach of the core values of the University and damaging to the reputation of the University and its programmes.</w:t>
      </w:r>
    </w:p>
    <w:p w14:paraId="1C73F6A5" w14:textId="77777777" w:rsidR="007521A8" w:rsidRPr="006E2A69" w:rsidRDefault="007521A8" w:rsidP="006E2A69">
      <w:pPr>
        <w:spacing w:before="120" w:after="240"/>
        <w:jc w:val="center"/>
        <w:rPr>
          <w:rStyle w:val="SubtleReference"/>
        </w:rPr>
      </w:pPr>
      <w:r w:rsidRPr="006E2A69">
        <w:rPr>
          <w:rStyle w:val="SubtleReference"/>
        </w:rPr>
        <w:t>Lancaster University Plagiarism Framework</w:t>
      </w:r>
    </w:p>
    <w:p w14:paraId="27C9C8F2" w14:textId="77777777" w:rsidR="007521A8" w:rsidRDefault="007521A8" w:rsidP="007521A8">
      <w:pPr>
        <w:rPr>
          <w:lang w:val="en" w:eastAsia="en-GB"/>
        </w:rPr>
      </w:pPr>
      <w:r>
        <w:rPr>
          <w:lang w:val="en" w:eastAsia="en-GB"/>
        </w:rPr>
        <w:t>Issues of p</w:t>
      </w:r>
      <w:r w:rsidRPr="005A1B22">
        <w:rPr>
          <w:lang w:val="en" w:eastAsia="en-GB"/>
        </w:rPr>
        <w:t xml:space="preserve">lagiarism in Higher Education </w:t>
      </w:r>
      <w:r>
        <w:rPr>
          <w:lang w:val="en" w:eastAsia="en-GB"/>
        </w:rPr>
        <w:t>have been of considerable concern</w:t>
      </w:r>
      <w:r w:rsidRPr="005A1B22">
        <w:rPr>
          <w:lang w:val="en" w:eastAsia="en-GB"/>
        </w:rPr>
        <w:t xml:space="preserve"> across the sector in recent years, compounded by the rise in students’ use of commissioning to generate assessable work. (</w:t>
      </w:r>
      <w:r>
        <w:rPr>
          <w:lang w:val="en" w:eastAsia="en-GB"/>
        </w:rPr>
        <w:t xml:space="preserve">QAA, 2016; </w:t>
      </w:r>
      <w:r w:rsidRPr="005A1B22">
        <w:rPr>
          <w:lang w:val="en" w:eastAsia="en-GB"/>
        </w:rPr>
        <w:t>Newton, 2018)</w:t>
      </w:r>
      <w:r>
        <w:rPr>
          <w:lang w:val="en" w:eastAsia="en-GB"/>
        </w:rPr>
        <w:t>.</w:t>
      </w:r>
    </w:p>
    <w:p w14:paraId="032EBDD1" w14:textId="77777777" w:rsidR="007521A8" w:rsidRDefault="007521A8" w:rsidP="007521A8">
      <w:pPr>
        <w:rPr>
          <w:lang w:val="en" w:eastAsia="en-GB"/>
        </w:rPr>
      </w:pPr>
      <w:r>
        <w:rPr>
          <w:lang w:val="en" w:eastAsia="en-GB"/>
        </w:rPr>
        <w:t xml:space="preserve">Accompanying this sector-wide challenge </w:t>
      </w:r>
      <w:r w:rsidRPr="005A1B22">
        <w:rPr>
          <w:lang w:val="en" w:eastAsia="en-GB"/>
        </w:rPr>
        <w:t>is the complex task of actually detecting instances of plagiarism</w:t>
      </w:r>
      <w:r>
        <w:rPr>
          <w:lang w:val="en" w:eastAsia="en-GB"/>
        </w:rPr>
        <w:t xml:space="preserve"> when it occurs</w:t>
      </w:r>
      <w:r w:rsidRPr="005A1B22">
        <w:rPr>
          <w:lang w:val="en" w:eastAsia="en-GB"/>
        </w:rPr>
        <w:t>, whether intentional or not. Despite the availability of text-matching software, this process still</w:t>
      </w:r>
      <w:r>
        <w:rPr>
          <w:lang w:val="en" w:eastAsia="en-GB"/>
        </w:rPr>
        <w:t xml:space="preserve"> fundamentally </w:t>
      </w:r>
      <w:r w:rsidRPr="005A1B22">
        <w:rPr>
          <w:lang w:val="en" w:eastAsia="en-GB"/>
        </w:rPr>
        <w:t xml:space="preserve">relies on the person who is marking </w:t>
      </w:r>
      <w:r>
        <w:rPr>
          <w:lang w:val="en" w:eastAsia="en-GB"/>
        </w:rPr>
        <w:t xml:space="preserve">student work </w:t>
      </w:r>
      <w:r w:rsidRPr="005A1B22">
        <w:rPr>
          <w:lang w:val="en" w:eastAsia="en-GB"/>
        </w:rPr>
        <w:t>to have spotted the issues.</w:t>
      </w:r>
      <w:r>
        <w:rPr>
          <w:lang w:val="en" w:eastAsia="en-GB"/>
        </w:rPr>
        <w:t xml:space="preserve"> Consequently, prevention is desirable.</w:t>
      </w:r>
    </w:p>
    <w:p w14:paraId="33349C7F" w14:textId="77777777" w:rsidR="007521A8" w:rsidRDefault="007521A8" w:rsidP="007521A8">
      <w:pPr>
        <w:rPr>
          <w:lang w:val="en" w:eastAsia="en-GB"/>
        </w:rPr>
      </w:pPr>
      <w:r>
        <w:rPr>
          <w:lang w:val="en" w:eastAsia="en-GB"/>
        </w:rPr>
        <w:t>Fortunately, research into plagiarism practices has led to the emergence of several strategies for preventing it in the first place. (Carroll, 2013; Macdonald &amp; Carroll, 2006; Brown &amp; Janssen, 2017; Medway et al, 2018) These ideas include the raising of awareness of expectations around academic integrity, supporting students to understand the benefits of good study practices in their learning, provision of study skills advice and guidance, and focusing on the design of assessment tasks.</w:t>
      </w:r>
    </w:p>
    <w:p w14:paraId="04647601" w14:textId="77777777" w:rsidR="007521A8" w:rsidRPr="005A1B22" w:rsidRDefault="007521A8" w:rsidP="007521A8">
      <w:pPr>
        <w:rPr>
          <w:lang w:val="en" w:eastAsia="en-GB"/>
        </w:rPr>
      </w:pPr>
      <w:r>
        <w:rPr>
          <w:lang w:val="en" w:eastAsia="en-GB"/>
        </w:rPr>
        <w:t>Helpfully</w:t>
      </w:r>
      <w:r w:rsidR="007A2437">
        <w:rPr>
          <w:lang w:val="en" w:eastAsia="en-GB"/>
        </w:rPr>
        <w:t>,</w:t>
      </w:r>
      <w:r>
        <w:rPr>
          <w:lang w:val="en" w:eastAsia="en-GB"/>
        </w:rPr>
        <w:t xml:space="preserve"> these strategies propagate principles of effective assessment and feedback practice more generally, advocating approaches that place learning and development at the heart of assessment design.</w:t>
      </w:r>
    </w:p>
    <w:p w14:paraId="1D0FC1E2" w14:textId="1261AE3B" w:rsidR="00ED6FE7" w:rsidRPr="007A2ED2" w:rsidRDefault="00ED6FE7" w:rsidP="007A2ED2">
      <w:r>
        <w:rPr>
          <w:rFonts w:eastAsia="Times New Roman"/>
          <w:lang w:val="en" w:eastAsia="en-GB"/>
        </w:rPr>
        <w:br w:type="page"/>
      </w:r>
    </w:p>
    <w:p w14:paraId="008DB374" w14:textId="77204641" w:rsidR="008A60C4" w:rsidRDefault="008A60C4" w:rsidP="008A60C4">
      <w:pPr>
        <w:pStyle w:val="Heading2"/>
        <w:rPr>
          <w:rFonts w:eastAsia="Times New Roman"/>
          <w:lang w:val="en" w:eastAsia="en-GB"/>
        </w:rPr>
      </w:pPr>
      <w:r>
        <w:rPr>
          <w:rFonts w:eastAsia="Times New Roman"/>
          <w:lang w:val="en" w:eastAsia="en-GB"/>
        </w:rPr>
        <w:lastRenderedPageBreak/>
        <w:t>Strategies for assessment design</w:t>
      </w:r>
    </w:p>
    <w:p w14:paraId="572A0D08" w14:textId="77777777" w:rsidR="008A60C4" w:rsidRPr="00397028" w:rsidRDefault="008A60C4" w:rsidP="008A60C4">
      <w:pPr>
        <w:rPr>
          <w:lang w:val="en" w:eastAsia="en-GB"/>
        </w:rPr>
      </w:pPr>
      <w:r w:rsidRPr="00397028">
        <w:rPr>
          <w:lang w:val="en" w:eastAsia="en-GB"/>
        </w:rPr>
        <w:t xml:space="preserve">Carroll (2013) has developed a series of strategies for designing assessment in such a way that makes it more difficult for students to choose, intentionally or unintentionally, the option of plagiarism. It is also a strategy for designing assessment </w:t>
      </w:r>
      <w:r w:rsidRPr="00397028">
        <w:rPr>
          <w:i/>
          <w:iCs/>
          <w:lang w:val="en" w:eastAsia="en-GB"/>
        </w:rPr>
        <w:t>for</w:t>
      </w:r>
      <w:r w:rsidRPr="00397028">
        <w:rPr>
          <w:lang w:val="en" w:eastAsia="en-GB"/>
        </w:rPr>
        <w:t xml:space="preserve"> learning – what we understand as formative assessment. These strategies have been shared by Jude Carroll – with her permission – following her input into an Educational Development workshop held at Lancaster University in 2015.</w:t>
      </w:r>
    </w:p>
    <w:p w14:paraId="0342C5FA" w14:textId="77777777" w:rsidR="008A60C4" w:rsidRDefault="008A60C4" w:rsidP="008A60C4">
      <w:pPr>
        <w:pStyle w:val="Heading3"/>
        <w:rPr>
          <w:rFonts w:eastAsia="Times New Roman"/>
          <w:lang w:val="en" w:eastAsia="en-GB"/>
        </w:rPr>
      </w:pPr>
      <w:r>
        <w:rPr>
          <w:rFonts w:eastAsia="Times New Roman"/>
          <w:lang w:val="en" w:eastAsia="en-GB"/>
        </w:rPr>
        <w:t>Making an answer, not finding an answer</w:t>
      </w:r>
    </w:p>
    <w:p w14:paraId="33B1AD23" w14:textId="77777777" w:rsidR="008A60C4" w:rsidRPr="00397028" w:rsidRDefault="008A60C4" w:rsidP="008A60C4">
      <w:pPr>
        <w:rPr>
          <w:lang w:val="en" w:eastAsia="en-GB"/>
        </w:rPr>
      </w:pPr>
      <w:r w:rsidRPr="00397028">
        <w:rPr>
          <w:lang w:val="en" w:eastAsia="en-GB"/>
        </w:rPr>
        <w:t>The idea of a ‘make, not find’ strategy is that through the design of the assessment task students are in some way required to create an answer for themselves. They would not be able to find the answer out by searching for it in secondary sources, and then regurgitating it for the purposes of the assessment task.</w:t>
      </w:r>
    </w:p>
    <w:p w14:paraId="424BDCBA" w14:textId="77777777" w:rsidR="008A60C4" w:rsidRPr="00ED6FE7" w:rsidRDefault="008A60C4" w:rsidP="008A60C4">
      <w:pPr>
        <w:pStyle w:val="IntenseQuote"/>
        <w:ind w:left="0" w:right="44"/>
        <w:rPr>
          <w:sz w:val="24"/>
          <w:szCs w:val="24"/>
          <w:lang w:val="en" w:eastAsia="en-GB"/>
        </w:rPr>
      </w:pPr>
      <w:r w:rsidRPr="00ED6FE7">
        <w:rPr>
          <w:sz w:val="24"/>
          <w:szCs w:val="24"/>
          <w:lang w:val="en" w:eastAsia="en-GB"/>
        </w:rPr>
        <w:t>“Assessment that says to the student ‘You have to make this, you can't find it’, is actually saying to the student ‘You have to learn this’. Learning is about activity. It’s about doing. It’s not a spectator sport. You can't learn yourself by simply showing that you've found another learned person. So when you say to a student ‘here is an assessment task that you're going to have to make, you're going to have to construct’, you're saying to the student "learning is going to have to go on here" and I think that is quite a useful thing.”</w:t>
      </w:r>
    </w:p>
    <w:p w14:paraId="735FA136" w14:textId="77777777" w:rsidR="008A60C4" w:rsidRPr="008A60C4" w:rsidRDefault="008A60C4" w:rsidP="008A60C4">
      <w:pPr>
        <w:jc w:val="center"/>
        <w:rPr>
          <w:rStyle w:val="SubtleReference"/>
        </w:rPr>
      </w:pPr>
      <w:r w:rsidRPr="008A60C4">
        <w:rPr>
          <w:rStyle w:val="SubtleReference"/>
        </w:rPr>
        <w:t xml:space="preserve">Jude Carroll, Designing plagiarism </w:t>
      </w:r>
      <w:r>
        <w:rPr>
          <w:rStyle w:val="SubtleReference"/>
        </w:rPr>
        <w:t xml:space="preserve">out of assessment </w:t>
      </w:r>
      <w:r w:rsidRPr="008A60C4">
        <w:rPr>
          <w:rStyle w:val="SubtleReference"/>
        </w:rPr>
        <w:t>workshop, Lancaster University, 2015</w:t>
      </w:r>
    </w:p>
    <w:p w14:paraId="36B8860F" w14:textId="77777777" w:rsidR="008A60C4" w:rsidRPr="00397028" w:rsidRDefault="008A60C4" w:rsidP="008A60C4">
      <w:pPr>
        <w:rPr>
          <w:lang w:val="en" w:eastAsia="en-GB"/>
        </w:rPr>
      </w:pPr>
    </w:p>
    <w:p w14:paraId="5FFBC796" w14:textId="23A1D47E" w:rsidR="008A60C4" w:rsidRPr="00397028" w:rsidRDefault="00ED6FE7" w:rsidP="00ED6FE7">
      <w:pPr>
        <w:pStyle w:val="Heading4"/>
        <w:rPr>
          <w:rFonts w:eastAsia="Times New Roman"/>
          <w:lang w:val="en" w:eastAsia="en-GB"/>
        </w:rPr>
      </w:pPr>
      <w:r>
        <w:rPr>
          <w:lang w:val="en" w:eastAsia="en-GB"/>
        </w:rPr>
        <w:br w:type="column"/>
      </w:r>
      <w:r>
        <w:rPr>
          <w:lang w:val="en" w:eastAsia="en-GB"/>
        </w:rPr>
        <w:t xml:space="preserve">Make, not find </w:t>
      </w:r>
      <w:proofErr w:type="gramStart"/>
      <w:r>
        <w:rPr>
          <w:lang w:val="en" w:eastAsia="en-GB"/>
        </w:rPr>
        <w:t>examples</w:t>
      </w:r>
      <w:proofErr w:type="gramEnd"/>
    </w:p>
    <w:p w14:paraId="5924B309" w14:textId="77777777" w:rsidR="008A60C4" w:rsidRPr="008A60C4" w:rsidRDefault="008A60C4" w:rsidP="008A60C4">
      <w:pPr>
        <w:pStyle w:val="ListParagraph"/>
        <w:numPr>
          <w:ilvl w:val="0"/>
          <w:numId w:val="13"/>
        </w:numPr>
        <w:ind w:left="284" w:hanging="284"/>
        <w:rPr>
          <w:lang w:val="en"/>
        </w:rPr>
      </w:pPr>
      <w:r w:rsidRPr="008A60C4">
        <w:rPr>
          <w:lang w:val="en"/>
        </w:rPr>
        <w:t xml:space="preserve">Giving each student </w:t>
      </w:r>
      <w:proofErr w:type="spellStart"/>
      <w:r w:rsidRPr="008A60C4">
        <w:rPr>
          <w:lang w:val="en"/>
        </w:rPr>
        <w:t>individualised</w:t>
      </w:r>
      <w:proofErr w:type="spellEnd"/>
      <w:r w:rsidRPr="008A60C4">
        <w:rPr>
          <w:lang w:val="en"/>
        </w:rPr>
        <w:t xml:space="preserve"> data, contexts, characteristics or situations.</w:t>
      </w:r>
    </w:p>
    <w:p w14:paraId="6FF54F89" w14:textId="77777777" w:rsidR="008A60C4" w:rsidRPr="008A60C4" w:rsidRDefault="008A60C4" w:rsidP="008A60C4">
      <w:pPr>
        <w:pStyle w:val="ListParagraph"/>
        <w:numPr>
          <w:ilvl w:val="0"/>
          <w:numId w:val="13"/>
        </w:numPr>
        <w:ind w:left="284" w:hanging="284"/>
        <w:rPr>
          <w:lang w:val="en"/>
        </w:rPr>
      </w:pPr>
      <w:r w:rsidRPr="008A60C4">
        <w:rPr>
          <w:lang w:val="en"/>
        </w:rPr>
        <w:t xml:space="preserve">Requiring students to collect and include primary data (questionnaires, case histories, personal experiences / reflections </w:t>
      </w:r>
      <w:proofErr w:type="spellStart"/>
      <w:r w:rsidRPr="008A60C4">
        <w:rPr>
          <w:lang w:val="en"/>
        </w:rPr>
        <w:t>etc</w:t>
      </w:r>
      <w:proofErr w:type="spellEnd"/>
      <w:r w:rsidRPr="008A60C4">
        <w:rPr>
          <w:lang w:val="en"/>
        </w:rPr>
        <w:t>).</w:t>
      </w:r>
    </w:p>
    <w:p w14:paraId="30F930DC" w14:textId="77777777" w:rsidR="008A60C4" w:rsidRPr="008A60C4" w:rsidRDefault="008A60C4" w:rsidP="008A60C4">
      <w:pPr>
        <w:pStyle w:val="ListParagraph"/>
        <w:numPr>
          <w:ilvl w:val="0"/>
          <w:numId w:val="13"/>
        </w:numPr>
        <w:ind w:left="284" w:hanging="284"/>
        <w:rPr>
          <w:rFonts w:ascii="Arial" w:eastAsia="Times New Roman" w:hAnsi="Arial" w:cs="Arial"/>
          <w:color w:val="000000"/>
          <w:sz w:val="21"/>
          <w:szCs w:val="21"/>
          <w:lang w:val="en" w:eastAsia="en-GB"/>
        </w:rPr>
      </w:pPr>
      <w:r w:rsidRPr="008A60C4">
        <w:rPr>
          <w:lang w:val="en"/>
        </w:rPr>
        <w:t>Setting a topic that is local, recent and/or specific. Avoiding topics that are well established or generic.</w:t>
      </w:r>
    </w:p>
    <w:p w14:paraId="62D42596" w14:textId="77777777" w:rsidR="008A60C4" w:rsidRPr="008A60C4" w:rsidRDefault="008A60C4" w:rsidP="008A60C4">
      <w:pPr>
        <w:pStyle w:val="ListParagraph"/>
        <w:numPr>
          <w:ilvl w:val="0"/>
          <w:numId w:val="13"/>
        </w:numPr>
        <w:ind w:left="284" w:hanging="284"/>
        <w:rPr>
          <w:rFonts w:ascii="Arial" w:eastAsia="Times New Roman" w:hAnsi="Arial" w:cs="Arial"/>
          <w:color w:val="000000"/>
          <w:sz w:val="21"/>
          <w:szCs w:val="21"/>
          <w:lang w:val="en" w:eastAsia="en-GB"/>
        </w:rPr>
      </w:pPr>
      <w:r w:rsidRPr="008A60C4">
        <w:rPr>
          <w:lang w:val="en"/>
        </w:rPr>
        <w:t>Asking for a new or novel format or discourse style</w:t>
      </w:r>
      <w:r>
        <w:rPr>
          <w:lang w:val="en"/>
        </w:rPr>
        <w:t>/</w:t>
      </w:r>
      <w:r w:rsidRPr="008A60C4">
        <w:rPr>
          <w:lang w:val="en"/>
        </w:rPr>
        <w:t xml:space="preserve"> </w:t>
      </w:r>
      <w:r w:rsidRPr="008A60C4">
        <w:rPr>
          <w:i/>
          <w:lang w:val="en"/>
        </w:rPr>
        <w:t>(</w:t>
      </w:r>
      <w:r>
        <w:rPr>
          <w:i/>
          <w:lang w:val="en"/>
        </w:rPr>
        <w:t>e.g. A</w:t>
      </w:r>
      <w:r w:rsidRPr="008A60C4">
        <w:rPr>
          <w:i/>
          <w:lang w:val="en"/>
        </w:rPr>
        <w:t xml:space="preserve"> radio play, a patient information leaflet, a submission to a Parliamentary enquiry</w:t>
      </w:r>
      <w:r>
        <w:rPr>
          <w:i/>
          <w:lang w:val="en"/>
        </w:rPr>
        <w:t>.</w:t>
      </w:r>
      <w:r w:rsidRPr="008A60C4">
        <w:rPr>
          <w:i/>
          <w:lang w:val="en"/>
        </w:rPr>
        <w:t xml:space="preserve">) </w:t>
      </w:r>
    </w:p>
    <w:p w14:paraId="7FB2D822" w14:textId="77777777" w:rsidR="008A60C4" w:rsidRPr="008A60C4" w:rsidRDefault="008A60C4" w:rsidP="008A60C4">
      <w:pPr>
        <w:pStyle w:val="ListParagraph"/>
        <w:numPr>
          <w:ilvl w:val="0"/>
          <w:numId w:val="13"/>
        </w:numPr>
        <w:ind w:left="284" w:hanging="284"/>
        <w:rPr>
          <w:rFonts w:ascii="Arial" w:eastAsia="Times New Roman" w:hAnsi="Arial" w:cs="Arial"/>
          <w:color w:val="000000"/>
          <w:sz w:val="21"/>
          <w:szCs w:val="21"/>
          <w:lang w:val="en" w:eastAsia="en-GB"/>
        </w:rPr>
      </w:pPr>
      <w:r w:rsidRPr="008A60C4">
        <w:rPr>
          <w:lang w:val="en"/>
        </w:rPr>
        <w:t>Asking for a new focus or point of view for a ‘tried and tested’ task</w:t>
      </w:r>
      <w:r>
        <w:rPr>
          <w:lang w:val="en"/>
        </w:rPr>
        <w:t>.</w:t>
      </w:r>
      <w:r w:rsidRPr="008A60C4">
        <w:rPr>
          <w:lang w:val="en"/>
        </w:rPr>
        <w:t xml:space="preserve"> </w:t>
      </w:r>
      <w:r w:rsidRPr="008A60C4">
        <w:rPr>
          <w:i/>
          <w:lang w:val="en"/>
        </w:rPr>
        <w:t xml:space="preserve">(Last year, we looked at </w:t>
      </w:r>
      <w:proofErr w:type="spellStart"/>
      <w:r w:rsidRPr="008A60C4">
        <w:rPr>
          <w:i/>
          <w:lang w:val="en"/>
        </w:rPr>
        <w:t>xxxx’s</w:t>
      </w:r>
      <w:proofErr w:type="spellEnd"/>
      <w:r w:rsidRPr="008A60C4">
        <w:rPr>
          <w:i/>
          <w:lang w:val="en"/>
        </w:rPr>
        <w:t xml:space="preserve"> impact on India. This year, Japan</w:t>
      </w:r>
      <w:r>
        <w:rPr>
          <w:i/>
          <w:lang w:val="en"/>
        </w:rPr>
        <w:t>.</w:t>
      </w:r>
      <w:r w:rsidRPr="008A60C4">
        <w:rPr>
          <w:i/>
          <w:lang w:val="en"/>
        </w:rPr>
        <w:t>)</w:t>
      </w:r>
    </w:p>
    <w:p w14:paraId="0B1A9F18" w14:textId="77777777" w:rsidR="008A60C4" w:rsidRPr="008A60C4" w:rsidRDefault="008A60C4" w:rsidP="008A60C4">
      <w:pPr>
        <w:pStyle w:val="ListParagraph"/>
        <w:numPr>
          <w:ilvl w:val="0"/>
          <w:numId w:val="13"/>
        </w:numPr>
        <w:ind w:left="284" w:hanging="284"/>
        <w:rPr>
          <w:rFonts w:ascii="Arial" w:eastAsia="Times New Roman" w:hAnsi="Arial" w:cs="Arial"/>
          <w:color w:val="000000"/>
          <w:sz w:val="21"/>
          <w:szCs w:val="21"/>
          <w:lang w:val="en" w:eastAsia="en-GB"/>
        </w:rPr>
      </w:pPr>
      <w:r w:rsidRPr="008A60C4">
        <w:rPr>
          <w:lang w:val="en"/>
        </w:rPr>
        <w:t xml:space="preserve">Specify inclusion and use/application of a specific theory, of a particular resource, of lecture material, </w:t>
      </w:r>
      <w:r w:rsidR="00ED6FE7">
        <w:rPr>
          <w:lang w:val="en"/>
        </w:rPr>
        <w:t xml:space="preserve">or </w:t>
      </w:r>
      <w:r w:rsidRPr="008A60C4">
        <w:rPr>
          <w:lang w:val="en"/>
        </w:rPr>
        <w:t>of an event</w:t>
      </w:r>
      <w:r w:rsidR="00ED6FE7">
        <w:rPr>
          <w:lang w:val="en"/>
        </w:rPr>
        <w:t>.</w:t>
      </w:r>
    </w:p>
    <w:p w14:paraId="1756103F" w14:textId="77777777" w:rsidR="00ED6FE7" w:rsidRDefault="00ED6FE7" w:rsidP="008A60C4">
      <w:pPr>
        <w:pStyle w:val="Heading3"/>
        <w:rPr>
          <w:lang w:val="en"/>
        </w:rPr>
      </w:pPr>
    </w:p>
    <w:p w14:paraId="5BBA0106" w14:textId="77777777" w:rsidR="008A60C4" w:rsidRDefault="008A60C4" w:rsidP="008A60C4">
      <w:pPr>
        <w:pStyle w:val="Heading3"/>
        <w:rPr>
          <w:lang w:val="en"/>
        </w:rPr>
      </w:pPr>
      <w:r>
        <w:rPr>
          <w:lang w:val="en"/>
        </w:rPr>
        <w:t>Focus on process</w:t>
      </w:r>
    </w:p>
    <w:p w14:paraId="09C62F9B" w14:textId="77777777" w:rsidR="008A60C4" w:rsidRPr="00397028" w:rsidRDefault="008A60C4" w:rsidP="008A60C4">
      <w:pPr>
        <w:rPr>
          <w:rFonts w:asciiTheme="minorHAnsi" w:hAnsiTheme="minorHAnsi" w:cstheme="minorHAnsi"/>
          <w:sz w:val="22"/>
          <w:lang w:val="en"/>
        </w:rPr>
      </w:pPr>
      <w:r>
        <w:rPr>
          <w:lang w:val="en"/>
        </w:rPr>
        <w:t>A ‘focus on process’ is about structuring assessments so that progress and learning can be observed as it develops over time. This strategy is about finding ways to value stages of learning that contribute to an assessment task, and making those stages visible in some way.</w:t>
      </w:r>
    </w:p>
    <w:p w14:paraId="131CFA6B" w14:textId="77777777" w:rsidR="008A60C4" w:rsidRPr="00ED6FE7" w:rsidRDefault="00ED6FE7" w:rsidP="00487981">
      <w:pPr>
        <w:pStyle w:val="IntenseQuote"/>
        <w:ind w:left="0" w:right="186"/>
        <w:rPr>
          <w:sz w:val="24"/>
          <w:szCs w:val="24"/>
          <w:lang w:val="en"/>
        </w:rPr>
      </w:pPr>
      <w:r w:rsidRPr="00ED6FE7">
        <w:rPr>
          <w:sz w:val="24"/>
          <w:szCs w:val="24"/>
          <w:lang w:val="en"/>
        </w:rPr>
        <w:t>“</w:t>
      </w:r>
      <w:r w:rsidR="008A60C4" w:rsidRPr="00ED6FE7">
        <w:rPr>
          <w:sz w:val="24"/>
          <w:szCs w:val="24"/>
          <w:lang w:val="en"/>
        </w:rPr>
        <w:t>It</w:t>
      </w:r>
      <w:r w:rsidR="00487981" w:rsidRPr="00ED6FE7">
        <w:rPr>
          <w:sz w:val="24"/>
          <w:szCs w:val="24"/>
          <w:lang w:val="en"/>
        </w:rPr>
        <w:t xml:space="preserve"> is</w:t>
      </w:r>
      <w:r w:rsidR="008A60C4" w:rsidRPr="00ED6FE7">
        <w:rPr>
          <w:sz w:val="24"/>
          <w:szCs w:val="24"/>
          <w:lang w:val="en"/>
        </w:rPr>
        <w:t xml:space="preserve"> much harder to simulate, find, copy or steal a process than it is a product. There are many times where a focus on process is the best way to get students working on task. It is also possibly the most effective strategy for dealing with commissioning – paying someone to do the work for you. Plagiarism, copying, finding, faking, cheating is often a last minute decision because the student feels they have no other choice. </w:t>
      </w:r>
      <w:r w:rsidR="008A60C4" w:rsidRPr="00ED6FE7">
        <w:rPr>
          <w:sz w:val="24"/>
          <w:szCs w:val="24"/>
          <w:lang w:val="en"/>
        </w:rPr>
        <w:lastRenderedPageBreak/>
        <w:t xml:space="preserve">Getting students started on task, and making the process valuable and visible, and getting them to develop work </w:t>
      </w:r>
      <w:proofErr w:type="gramStart"/>
      <w:r w:rsidR="008A60C4" w:rsidRPr="00ED6FE7">
        <w:rPr>
          <w:sz w:val="24"/>
          <w:szCs w:val="24"/>
          <w:lang w:val="en"/>
        </w:rPr>
        <w:t>over time</w:t>
      </w:r>
      <w:proofErr w:type="gramEnd"/>
      <w:r w:rsidR="008A60C4" w:rsidRPr="00ED6FE7">
        <w:rPr>
          <w:sz w:val="24"/>
          <w:szCs w:val="24"/>
          <w:lang w:val="en"/>
        </w:rPr>
        <w:t xml:space="preserve"> are crucial to a focus on process approach. This is particularly important if it’s high value work, if you don’t know your students </w:t>
      </w:r>
      <w:r>
        <w:rPr>
          <w:sz w:val="24"/>
          <w:szCs w:val="24"/>
          <w:lang w:val="en"/>
        </w:rPr>
        <w:t xml:space="preserve">very </w:t>
      </w:r>
      <w:r w:rsidR="008A60C4" w:rsidRPr="00ED6FE7">
        <w:rPr>
          <w:sz w:val="24"/>
          <w:szCs w:val="24"/>
          <w:lang w:val="en"/>
        </w:rPr>
        <w:t>well, or where you are working primarily online.</w:t>
      </w:r>
      <w:r w:rsidRPr="00ED6FE7">
        <w:rPr>
          <w:sz w:val="24"/>
          <w:szCs w:val="24"/>
          <w:lang w:val="en"/>
        </w:rPr>
        <w:t>”</w:t>
      </w:r>
    </w:p>
    <w:p w14:paraId="59BF9BAF" w14:textId="77777777" w:rsidR="008A60C4" w:rsidRPr="008A60C4" w:rsidRDefault="008A60C4" w:rsidP="008A60C4">
      <w:pPr>
        <w:jc w:val="center"/>
        <w:rPr>
          <w:rStyle w:val="SubtleReference"/>
        </w:rPr>
      </w:pPr>
      <w:r w:rsidRPr="008A60C4">
        <w:rPr>
          <w:rStyle w:val="SubtleReference"/>
        </w:rPr>
        <w:t xml:space="preserve">Jude Carroll, Designing plagiarism </w:t>
      </w:r>
      <w:r>
        <w:rPr>
          <w:rStyle w:val="SubtleReference"/>
        </w:rPr>
        <w:t xml:space="preserve">out of assessment </w:t>
      </w:r>
      <w:r w:rsidRPr="008A60C4">
        <w:rPr>
          <w:rStyle w:val="SubtleReference"/>
        </w:rPr>
        <w:t>workshop, Lancaster University, 2015</w:t>
      </w:r>
    </w:p>
    <w:p w14:paraId="26C466FC" w14:textId="77777777" w:rsidR="008A60C4" w:rsidRPr="00487981" w:rsidRDefault="00ED6FE7" w:rsidP="00ED6FE7">
      <w:pPr>
        <w:pStyle w:val="Heading4"/>
        <w:rPr>
          <w:rFonts w:eastAsia="Times New Roman"/>
          <w:sz w:val="24"/>
          <w:lang w:val="en" w:eastAsia="en-GB"/>
        </w:rPr>
      </w:pPr>
      <w:r>
        <w:rPr>
          <w:rFonts w:eastAsia="Times New Roman"/>
          <w:lang w:val="en" w:eastAsia="en-GB"/>
        </w:rPr>
        <w:t>Focus on process examples</w:t>
      </w:r>
    </w:p>
    <w:p w14:paraId="57AFA64A" w14:textId="77777777" w:rsidR="008A60C4" w:rsidRPr="00487981" w:rsidRDefault="008A60C4" w:rsidP="00487981">
      <w:pPr>
        <w:pStyle w:val="ListParagraph"/>
        <w:numPr>
          <w:ilvl w:val="0"/>
          <w:numId w:val="14"/>
        </w:numPr>
        <w:ind w:left="284" w:hanging="284"/>
        <w:rPr>
          <w:rFonts w:asciiTheme="majorHAnsi" w:hAnsiTheme="majorHAnsi" w:cstheme="majorHAnsi"/>
          <w:szCs w:val="24"/>
          <w:lang w:val="en"/>
        </w:rPr>
      </w:pPr>
      <w:r w:rsidRPr="00487981">
        <w:rPr>
          <w:rFonts w:asciiTheme="majorHAnsi" w:hAnsiTheme="majorHAnsi" w:cstheme="majorHAnsi"/>
          <w:szCs w:val="24"/>
          <w:lang w:val="en"/>
        </w:rPr>
        <w:t>Observe one or more stages of production of the assessment artefact</w:t>
      </w:r>
      <w:r w:rsidR="00487981" w:rsidRPr="00487981">
        <w:rPr>
          <w:rFonts w:asciiTheme="majorHAnsi" w:hAnsiTheme="majorHAnsi" w:cstheme="majorHAnsi"/>
          <w:szCs w:val="24"/>
          <w:lang w:val="en"/>
        </w:rPr>
        <w:t>.</w:t>
      </w:r>
    </w:p>
    <w:p w14:paraId="088B4F6F" w14:textId="77777777" w:rsidR="008A60C4" w:rsidRPr="00487981" w:rsidRDefault="008A60C4" w:rsidP="00487981">
      <w:pPr>
        <w:pStyle w:val="ListParagraph"/>
        <w:numPr>
          <w:ilvl w:val="0"/>
          <w:numId w:val="14"/>
        </w:numPr>
        <w:ind w:left="284" w:hanging="284"/>
        <w:rPr>
          <w:rFonts w:asciiTheme="majorHAnsi" w:hAnsiTheme="majorHAnsi" w:cstheme="majorHAnsi"/>
          <w:szCs w:val="24"/>
          <w:lang w:val="en"/>
        </w:rPr>
      </w:pPr>
      <w:r w:rsidRPr="00487981">
        <w:rPr>
          <w:rFonts w:asciiTheme="majorHAnsi" w:hAnsiTheme="majorHAnsi" w:cstheme="majorHAnsi"/>
          <w:szCs w:val="24"/>
          <w:lang w:val="en"/>
        </w:rPr>
        <w:t>Require students to demonstrate activity at stages in the production process</w:t>
      </w:r>
      <w:r w:rsidR="00487981" w:rsidRPr="00487981">
        <w:rPr>
          <w:rFonts w:asciiTheme="majorHAnsi" w:hAnsiTheme="majorHAnsi" w:cstheme="majorHAnsi"/>
          <w:szCs w:val="24"/>
          <w:lang w:val="en"/>
        </w:rPr>
        <w:t>.</w:t>
      </w:r>
    </w:p>
    <w:p w14:paraId="6373140A" w14:textId="77777777" w:rsidR="008A60C4" w:rsidRPr="00487981" w:rsidRDefault="008A60C4" w:rsidP="00487981">
      <w:pPr>
        <w:pStyle w:val="ListParagraph"/>
        <w:numPr>
          <w:ilvl w:val="0"/>
          <w:numId w:val="14"/>
        </w:numPr>
        <w:ind w:left="284" w:hanging="284"/>
        <w:rPr>
          <w:rFonts w:asciiTheme="majorHAnsi" w:hAnsiTheme="majorHAnsi" w:cstheme="majorHAnsi"/>
          <w:szCs w:val="24"/>
          <w:lang w:val="en"/>
        </w:rPr>
      </w:pPr>
      <w:r w:rsidRPr="00487981">
        <w:rPr>
          <w:rFonts w:asciiTheme="majorHAnsi" w:hAnsiTheme="majorHAnsi" w:cstheme="majorHAnsi"/>
          <w:szCs w:val="24"/>
          <w:lang w:val="en"/>
        </w:rPr>
        <w:t>Verify, do not assess that the stages were completed</w:t>
      </w:r>
      <w:r w:rsidR="00487981" w:rsidRPr="00487981">
        <w:rPr>
          <w:rFonts w:asciiTheme="majorHAnsi" w:hAnsiTheme="majorHAnsi" w:cstheme="majorHAnsi"/>
          <w:szCs w:val="24"/>
          <w:lang w:val="en"/>
        </w:rPr>
        <w:t>.</w:t>
      </w:r>
      <w:r w:rsidRPr="00487981">
        <w:rPr>
          <w:rFonts w:asciiTheme="majorHAnsi" w:hAnsiTheme="majorHAnsi" w:cstheme="majorHAnsi"/>
          <w:szCs w:val="24"/>
          <w:lang w:val="en"/>
        </w:rPr>
        <w:t xml:space="preserve"> (for example, ask for and sign an outline, first draft, literature review etc</w:t>
      </w:r>
      <w:r w:rsidR="00487981" w:rsidRPr="00487981">
        <w:rPr>
          <w:rFonts w:asciiTheme="majorHAnsi" w:hAnsiTheme="majorHAnsi" w:cstheme="majorHAnsi"/>
          <w:szCs w:val="24"/>
          <w:lang w:val="en"/>
        </w:rPr>
        <w:t>.</w:t>
      </w:r>
      <w:r w:rsidRPr="00487981">
        <w:rPr>
          <w:rFonts w:asciiTheme="majorHAnsi" w:hAnsiTheme="majorHAnsi" w:cstheme="majorHAnsi"/>
          <w:szCs w:val="24"/>
          <w:lang w:val="en"/>
        </w:rPr>
        <w:t>)</w:t>
      </w:r>
    </w:p>
    <w:p w14:paraId="50D49EBF" w14:textId="77777777" w:rsidR="008A60C4" w:rsidRPr="00487981" w:rsidRDefault="008A60C4" w:rsidP="00487981">
      <w:pPr>
        <w:pStyle w:val="ListParagraph"/>
        <w:numPr>
          <w:ilvl w:val="0"/>
          <w:numId w:val="14"/>
        </w:numPr>
        <w:ind w:left="284" w:hanging="284"/>
        <w:rPr>
          <w:rFonts w:asciiTheme="majorHAnsi" w:hAnsiTheme="majorHAnsi" w:cstheme="majorHAnsi"/>
          <w:szCs w:val="24"/>
          <w:lang w:val="en"/>
        </w:rPr>
      </w:pPr>
      <w:r w:rsidRPr="00487981">
        <w:rPr>
          <w:rFonts w:asciiTheme="majorHAnsi" w:hAnsiTheme="majorHAnsi" w:cstheme="majorHAnsi"/>
          <w:szCs w:val="24"/>
          <w:lang w:val="en"/>
        </w:rPr>
        <w:t>Peer review of an interim stage</w:t>
      </w:r>
      <w:r w:rsidR="00487981" w:rsidRPr="00487981">
        <w:rPr>
          <w:rFonts w:asciiTheme="majorHAnsi" w:hAnsiTheme="majorHAnsi" w:cstheme="majorHAnsi"/>
          <w:szCs w:val="24"/>
          <w:lang w:val="en"/>
        </w:rPr>
        <w:t>.</w:t>
      </w:r>
      <w:r w:rsidRPr="00487981">
        <w:rPr>
          <w:rFonts w:asciiTheme="majorHAnsi" w:hAnsiTheme="majorHAnsi" w:cstheme="majorHAnsi"/>
          <w:szCs w:val="24"/>
          <w:lang w:val="en"/>
        </w:rPr>
        <w:t xml:space="preserve"> (</w:t>
      </w:r>
      <w:r w:rsidR="00487981" w:rsidRPr="00487981">
        <w:rPr>
          <w:rFonts w:asciiTheme="majorHAnsi" w:hAnsiTheme="majorHAnsi" w:cstheme="majorHAnsi"/>
          <w:szCs w:val="24"/>
          <w:lang w:val="en"/>
        </w:rPr>
        <w:t>e.g.</w:t>
      </w:r>
      <w:r w:rsidRPr="00487981">
        <w:rPr>
          <w:rFonts w:asciiTheme="majorHAnsi" w:hAnsiTheme="majorHAnsi" w:cstheme="majorHAnsi"/>
          <w:szCs w:val="24"/>
          <w:lang w:val="en"/>
        </w:rPr>
        <w:t xml:space="preserve"> </w:t>
      </w:r>
      <w:r w:rsidR="00487981" w:rsidRPr="00487981">
        <w:rPr>
          <w:rFonts w:asciiTheme="majorHAnsi" w:hAnsiTheme="majorHAnsi" w:cstheme="majorHAnsi"/>
          <w:szCs w:val="24"/>
          <w:lang w:val="en"/>
        </w:rPr>
        <w:t>P</w:t>
      </w:r>
      <w:r w:rsidRPr="00487981">
        <w:rPr>
          <w:rFonts w:asciiTheme="majorHAnsi" w:hAnsiTheme="majorHAnsi" w:cstheme="majorHAnsi"/>
          <w:szCs w:val="24"/>
          <w:lang w:val="en"/>
        </w:rPr>
        <w:t>eers look at and feedback on a draft</w:t>
      </w:r>
      <w:r w:rsidR="00487981" w:rsidRPr="00487981">
        <w:rPr>
          <w:rFonts w:asciiTheme="majorHAnsi" w:hAnsiTheme="majorHAnsi" w:cstheme="majorHAnsi"/>
          <w:szCs w:val="24"/>
          <w:lang w:val="en"/>
        </w:rPr>
        <w:t>.</w:t>
      </w:r>
      <w:r w:rsidRPr="00487981">
        <w:rPr>
          <w:rFonts w:asciiTheme="majorHAnsi" w:hAnsiTheme="majorHAnsi" w:cstheme="majorHAnsi"/>
          <w:szCs w:val="24"/>
          <w:lang w:val="en"/>
        </w:rPr>
        <w:t xml:space="preserve">) </w:t>
      </w:r>
    </w:p>
    <w:p w14:paraId="07DADA6F" w14:textId="77777777" w:rsidR="008A60C4" w:rsidRPr="00487981" w:rsidRDefault="008A60C4" w:rsidP="00487981">
      <w:pPr>
        <w:pStyle w:val="ListParagraph"/>
        <w:numPr>
          <w:ilvl w:val="0"/>
          <w:numId w:val="14"/>
        </w:numPr>
        <w:ind w:left="284" w:hanging="284"/>
        <w:rPr>
          <w:rFonts w:asciiTheme="majorHAnsi" w:hAnsiTheme="majorHAnsi" w:cstheme="majorHAnsi"/>
          <w:szCs w:val="24"/>
          <w:lang w:val="en"/>
        </w:rPr>
      </w:pPr>
      <w:r w:rsidRPr="00487981">
        <w:rPr>
          <w:rFonts w:asciiTheme="majorHAnsi" w:hAnsiTheme="majorHAnsi" w:cstheme="majorHAnsi"/>
          <w:szCs w:val="24"/>
          <w:lang w:val="en"/>
        </w:rPr>
        <w:t>In class demonstration of the assessment / students’ learning (for example, a debate, in class essay on an unknown topic from prior research, presentation</w:t>
      </w:r>
      <w:r w:rsidR="00487981" w:rsidRPr="00487981">
        <w:rPr>
          <w:rFonts w:asciiTheme="majorHAnsi" w:hAnsiTheme="majorHAnsi" w:cstheme="majorHAnsi"/>
          <w:szCs w:val="24"/>
          <w:lang w:val="en"/>
        </w:rPr>
        <w:t>.</w:t>
      </w:r>
    </w:p>
    <w:p w14:paraId="71FA8E04" w14:textId="77777777" w:rsidR="008A60C4" w:rsidRPr="00487981" w:rsidRDefault="008A60C4" w:rsidP="00487981">
      <w:pPr>
        <w:rPr>
          <w:rFonts w:asciiTheme="majorHAnsi" w:hAnsiTheme="majorHAnsi" w:cstheme="majorHAnsi"/>
          <w:szCs w:val="24"/>
          <w:lang w:val="en"/>
        </w:rPr>
      </w:pPr>
    </w:p>
    <w:p w14:paraId="34272A69" w14:textId="5F964A00" w:rsidR="008A60C4" w:rsidRPr="00487981" w:rsidRDefault="00ED6FE7" w:rsidP="00487981">
      <w:pPr>
        <w:pStyle w:val="Heading3"/>
        <w:rPr>
          <w:rFonts w:eastAsia="Times New Roman"/>
          <w:lang w:val="en" w:eastAsia="en-GB"/>
        </w:rPr>
      </w:pPr>
      <w:r>
        <w:rPr>
          <w:rFonts w:eastAsia="Times New Roman"/>
          <w:lang w:val="en" w:eastAsia="en-GB"/>
        </w:rPr>
        <w:br w:type="column"/>
      </w:r>
      <w:r w:rsidR="008A60C4" w:rsidRPr="00487981">
        <w:rPr>
          <w:rFonts w:eastAsia="Times New Roman"/>
          <w:lang w:val="en" w:eastAsia="en-GB"/>
        </w:rPr>
        <w:t>Authentication</w:t>
      </w:r>
    </w:p>
    <w:p w14:paraId="5D92DAD4" w14:textId="77777777" w:rsidR="008A60C4" w:rsidRPr="00487981" w:rsidRDefault="008A60C4" w:rsidP="00487981">
      <w:pPr>
        <w:rPr>
          <w:rFonts w:asciiTheme="majorHAnsi" w:hAnsiTheme="majorHAnsi" w:cstheme="majorHAnsi"/>
          <w:szCs w:val="24"/>
          <w:lang w:val="en" w:eastAsia="en-GB"/>
        </w:rPr>
      </w:pPr>
      <w:r w:rsidRPr="00487981">
        <w:rPr>
          <w:rFonts w:asciiTheme="majorHAnsi" w:hAnsiTheme="majorHAnsi" w:cstheme="majorHAnsi"/>
          <w:szCs w:val="24"/>
          <w:lang w:val="en" w:eastAsia="en-GB"/>
        </w:rPr>
        <w:t>The principles of the authentication strategy is simply to devise mechanisms by which the teacher / marker can check who actually did the work. This might include requiring students to perform a task under observed conditions, but may also introduce approaches that check students’ comprehension of their own work.</w:t>
      </w:r>
    </w:p>
    <w:p w14:paraId="65E1EB4D" w14:textId="77777777" w:rsidR="008A60C4" w:rsidRPr="00487981" w:rsidRDefault="00ED6FE7" w:rsidP="00ED6FE7">
      <w:pPr>
        <w:pStyle w:val="Heading4"/>
        <w:rPr>
          <w:rFonts w:eastAsia="Times New Roman"/>
          <w:sz w:val="24"/>
          <w:lang w:val="en" w:eastAsia="en-GB"/>
        </w:rPr>
      </w:pPr>
      <w:r>
        <w:rPr>
          <w:lang w:val="en" w:eastAsia="en-GB"/>
        </w:rPr>
        <w:t>Authentication examples</w:t>
      </w:r>
    </w:p>
    <w:p w14:paraId="270CE595" w14:textId="77777777" w:rsidR="008A60C4" w:rsidRPr="00ED6FE7" w:rsidRDefault="008A60C4" w:rsidP="00ED6FE7">
      <w:pPr>
        <w:pStyle w:val="ListParagraph"/>
        <w:numPr>
          <w:ilvl w:val="0"/>
          <w:numId w:val="15"/>
        </w:numPr>
        <w:ind w:left="284" w:hanging="284"/>
        <w:rPr>
          <w:rFonts w:asciiTheme="majorHAnsi" w:hAnsiTheme="majorHAnsi" w:cstheme="majorHAnsi"/>
          <w:szCs w:val="24"/>
          <w:lang w:val="en"/>
        </w:rPr>
      </w:pPr>
      <w:r w:rsidRPr="00ED6FE7">
        <w:rPr>
          <w:rFonts w:asciiTheme="majorHAnsi" w:hAnsiTheme="majorHAnsi" w:cstheme="majorHAnsi"/>
          <w:szCs w:val="24"/>
          <w:lang w:val="en"/>
        </w:rPr>
        <w:t xml:space="preserve">Public use, discussion of the results of the assessment task (a presentation, students meeting clients, showcasing </w:t>
      </w:r>
      <w:proofErr w:type="spellStart"/>
      <w:r w:rsidRPr="00ED6FE7">
        <w:rPr>
          <w:rFonts w:asciiTheme="majorHAnsi" w:hAnsiTheme="majorHAnsi" w:cstheme="majorHAnsi"/>
          <w:szCs w:val="24"/>
          <w:lang w:val="en"/>
        </w:rPr>
        <w:t>etc</w:t>
      </w:r>
      <w:proofErr w:type="spellEnd"/>
      <w:r w:rsidRPr="00ED6FE7">
        <w:rPr>
          <w:rFonts w:asciiTheme="majorHAnsi" w:hAnsiTheme="majorHAnsi" w:cstheme="majorHAnsi"/>
          <w:szCs w:val="24"/>
          <w:lang w:val="en"/>
        </w:rPr>
        <w:t>)</w:t>
      </w:r>
    </w:p>
    <w:p w14:paraId="34D03B3A" w14:textId="77777777" w:rsidR="008A60C4" w:rsidRPr="00ED6FE7" w:rsidRDefault="008A60C4" w:rsidP="00ED6FE7">
      <w:pPr>
        <w:pStyle w:val="ListParagraph"/>
        <w:numPr>
          <w:ilvl w:val="0"/>
          <w:numId w:val="15"/>
        </w:numPr>
        <w:ind w:left="284" w:hanging="284"/>
        <w:rPr>
          <w:rFonts w:asciiTheme="majorHAnsi" w:hAnsiTheme="majorHAnsi" w:cstheme="majorHAnsi"/>
          <w:szCs w:val="24"/>
          <w:lang w:val="en"/>
        </w:rPr>
      </w:pPr>
      <w:r w:rsidRPr="00ED6FE7">
        <w:rPr>
          <w:rFonts w:asciiTheme="majorHAnsi" w:hAnsiTheme="majorHAnsi" w:cstheme="majorHAnsi"/>
          <w:szCs w:val="24"/>
          <w:lang w:val="en"/>
        </w:rPr>
        <w:t xml:space="preserve">Meta-writing task without giving a pre-warning, under observed conditions (e.g. ‘Write a summary of the three most significant </w:t>
      </w:r>
      <w:proofErr w:type="gramStart"/>
      <w:r w:rsidRPr="00ED6FE7">
        <w:rPr>
          <w:rFonts w:asciiTheme="majorHAnsi" w:hAnsiTheme="majorHAnsi" w:cstheme="majorHAnsi"/>
          <w:szCs w:val="24"/>
          <w:lang w:val="en"/>
        </w:rPr>
        <w:t>points’</w:t>
      </w:r>
      <w:proofErr w:type="gramEnd"/>
      <w:r w:rsidRPr="00ED6FE7">
        <w:rPr>
          <w:rFonts w:asciiTheme="majorHAnsi" w:hAnsiTheme="majorHAnsi" w:cstheme="majorHAnsi"/>
          <w:szCs w:val="24"/>
          <w:lang w:val="en"/>
        </w:rPr>
        <w:t>. OR ‘Which sources were most useful and why?)</w:t>
      </w:r>
    </w:p>
    <w:p w14:paraId="337CFF75" w14:textId="77777777" w:rsidR="008A60C4" w:rsidRPr="00ED6FE7" w:rsidRDefault="008A60C4" w:rsidP="00ED6FE7">
      <w:pPr>
        <w:pStyle w:val="ListParagraph"/>
        <w:numPr>
          <w:ilvl w:val="0"/>
          <w:numId w:val="15"/>
        </w:numPr>
        <w:ind w:left="284" w:hanging="284"/>
        <w:rPr>
          <w:rFonts w:asciiTheme="majorHAnsi" w:hAnsiTheme="majorHAnsi" w:cstheme="majorHAnsi"/>
          <w:szCs w:val="24"/>
          <w:lang w:val="en"/>
        </w:rPr>
      </w:pPr>
      <w:r w:rsidRPr="00ED6FE7">
        <w:rPr>
          <w:rFonts w:asciiTheme="majorHAnsi" w:hAnsiTheme="majorHAnsi" w:cstheme="majorHAnsi"/>
          <w:szCs w:val="24"/>
          <w:lang w:val="en"/>
        </w:rPr>
        <w:t>Meta-analysis task. (e.g. ‘What two things would make this better?’)</w:t>
      </w:r>
    </w:p>
    <w:p w14:paraId="5D60E7BF" w14:textId="77777777" w:rsidR="008A60C4" w:rsidRPr="00ED6FE7" w:rsidRDefault="008A60C4" w:rsidP="00ED6FE7">
      <w:pPr>
        <w:pStyle w:val="ListParagraph"/>
        <w:numPr>
          <w:ilvl w:val="0"/>
          <w:numId w:val="15"/>
        </w:numPr>
        <w:ind w:left="284" w:hanging="284"/>
        <w:rPr>
          <w:rFonts w:asciiTheme="majorHAnsi" w:hAnsiTheme="majorHAnsi" w:cstheme="majorHAnsi"/>
          <w:szCs w:val="24"/>
          <w:lang w:val="en"/>
        </w:rPr>
      </w:pPr>
      <w:r w:rsidRPr="00ED6FE7">
        <w:rPr>
          <w:rFonts w:asciiTheme="majorHAnsi" w:hAnsiTheme="majorHAnsi" w:cstheme="majorHAnsi"/>
          <w:szCs w:val="24"/>
          <w:lang w:val="en"/>
        </w:rPr>
        <w:t xml:space="preserve">Making a specified change (for example, in a computer </w:t>
      </w:r>
      <w:proofErr w:type="spellStart"/>
      <w:r w:rsidRPr="00ED6FE7">
        <w:rPr>
          <w:rFonts w:asciiTheme="majorHAnsi" w:hAnsiTheme="majorHAnsi" w:cstheme="majorHAnsi"/>
          <w:szCs w:val="24"/>
          <w:lang w:val="en"/>
        </w:rPr>
        <w:t>programme</w:t>
      </w:r>
      <w:proofErr w:type="spellEnd"/>
      <w:r w:rsidRPr="00ED6FE7">
        <w:rPr>
          <w:rFonts w:asciiTheme="majorHAnsi" w:hAnsiTheme="majorHAnsi" w:cstheme="majorHAnsi"/>
          <w:szCs w:val="24"/>
          <w:lang w:val="en"/>
        </w:rPr>
        <w:t>) under observed and timed conditions.</w:t>
      </w:r>
    </w:p>
    <w:p w14:paraId="69A765B9" w14:textId="77777777" w:rsidR="008A60C4" w:rsidRDefault="008A60C4" w:rsidP="00ED6FE7">
      <w:pPr>
        <w:pStyle w:val="ListParagraph"/>
        <w:numPr>
          <w:ilvl w:val="0"/>
          <w:numId w:val="15"/>
        </w:numPr>
        <w:ind w:left="284" w:hanging="284"/>
        <w:rPr>
          <w:rFonts w:asciiTheme="majorHAnsi" w:hAnsiTheme="majorHAnsi" w:cstheme="majorHAnsi"/>
          <w:szCs w:val="24"/>
          <w:lang w:val="en" w:eastAsia="en-GB"/>
        </w:rPr>
      </w:pPr>
      <w:r w:rsidRPr="00ED6FE7">
        <w:rPr>
          <w:rFonts w:asciiTheme="majorHAnsi" w:hAnsiTheme="majorHAnsi" w:cstheme="majorHAnsi"/>
          <w:szCs w:val="24"/>
          <w:lang w:val="en"/>
        </w:rPr>
        <w:t>Viva / oral investigation of content or process – either conduct individual interviews with the whole group / cohort or interview a randomly selected subset.</w:t>
      </w:r>
    </w:p>
    <w:p w14:paraId="55F65428" w14:textId="77777777" w:rsidR="00ED6FE7" w:rsidRPr="00ED6FE7" w:rsidRDefault="00ED6FE7" w:rsidP="00ED6FE7">
      <w:pPr>
        <w:pStyle w:val="IntenseQuote"/>
        <w:ind w:left="0" w:right="44"/>
        <w:rPr>
          <w:sz w:val="24"/>
          <w:szCs w:val="24"/>
          <w:lang w:val="en" w:eastAsia="en-GB"/>
        </w:rPr>
      </w:pPr>
      <w:r w:rsidRPr="00ED6FE7">
        <w:rPr>
          <w:sz w:val="24"/>
          <w:szCs w:val="24"/>
          <w:lang w:val="en" w:eastAsia="en-GB"/>
        </w:rPr>
        <w:t>“Authentication means checking who did the work</w:t>
      </w:r>
      <w:r w:rsidR="000E339D">
        <w:rPr>
          <w:sz w:val="24"/>
          <w:szCs w:val="24"/>
          <w:lang w:val="en" w:eastAsia="en-GB"/>
        </w:rPr>
        <w:t>.</w:t>
      </w:r>
      <w:r w:rsidRPr="00ED6FE7">
        <w:rPr>
          <w:sz w:val="24"/>
          <w:szCs w:val="24"/>
          <w:lang w:val="en" w:eastAsia="en-GB"/>
        </w:rPr>
        <w:t xml:space="preserve"> Asking ‘who did this?’ Sometimes authentication is really the best way to reduce plagiarism. If the strategy is getting students to think ‘will I get spotted if I cheat?’ at the outset, then they are less likely to do so.”</w:t>
      </w:r>
    </w:p>
    <w:p w14:paraId="66075639" w14:textId="77777777" w:rsidR="00ED6FE7" w:rsidRPr="008A60C4" w:rsidRDefault="00ED6FE7" w:rsidP="00ED6FE7">
      <w:pPr>
        <w:jc w:val="center"/>
        <w:rPr>
          <w:rStyle w:val="SubtleReference"/>
        </w:rPr>
      </w:pPr>
      <w:r w:rsidRPr="008A60C4">
        <w:rPr>
          <w:rStyle w:val="SubtleReference"/>
        </w:rPr>
        <w:t xml:space="preserve">Jude Carroll, Designing plagiarism </w:t>
      </w:r>
      <w:r>
        <w:rPr>
          <w:rStyle w:val="SubtleReference"/>
        </w:rPr>
        <w:t xml:space="preserve">out of assessment </w:t>
      </w:r>
      <w:r w:rsidRPr="008A60C4">
        <w:rPr>
          <w:rStyle w:val="SubtleReference"/>
        </w:rPr>
        <w:t>workshop, Lancaster University, 2015</w:t>
      </w:r>
    </w:p>
    <w:p w14:paraId="4283C4CA" w14:textId="77777777" w:rsidR="00DC0388" w:rsidRDefault="00DC0388">
      <w:pPr>
        <w:spacing w:before="0" w:after="160" w:line="259" w:lineRule="auto"/>
        <w:rPr>
          <w:rFonts w:asciiTheme="majorHAnsi" w:eastAsiaTheme="majorEastAsia" w:hAnsiTheme="majorHAnsi" w:cstheme="majorBidi"/>
          <w:color w:val="77230C" w:themeColor="accent1" w:themeShade="7F"/>
          <w:sz w:val="28"/>
          <w:szCs w:val="24"/>
        </w:rPr>
      </w:pPr>
      <w:r>
        <w:br w:type="page"/>
      </w:r>
    </w:p>
    <w:p w14:paraId="54214B6E" w14:textId="77777777" w:rsidR="00ED6FE7" w:rsidRDefault="00E1035E" w:rsidP="00ED6FE7">
      <w:pPr>
        <w:pStyle w:val="Heading3"/>
      </w:pPr>
      <w:r>
        <w:rPr>
          <w:noProof/>
          <w:lang w:eastAsia="en-GB"/>
        </w:rPr>
        <w:lastRenderedPageBreak/>
        <mc:AlternateContent>
          <mc:Choice Requires="wps">
            <w:drawing>
              <wp:anchor distT="0" distB="0" distL="114300" distR="114300" simplePos="0" relativeHeight="251658752" behindDoc="1" locked="0" layoutInCell="1" allowOverlap="1" wp14:anchorId="72205EFC" wp14:editId="2661C975">
                <wp:simplePos x="0" y="0"/>
                <wp:positionH relativeFrom="page">
                  <wp:posOffset>-1028700</wp:posOffset>
                </wp:positionH>
                <wp:positionV relativeFrom="paragraph">
                  <wp:posOffset>-2362835</wp:posOffset>
                </wp:positionV>
                <wp:extent cx="4791075" cy="6912610"/>
                <wp:effectExtent l="0" t="0" r="9525" b="2540"/>
                <wp:wrapNone/>
                <wp:docPr id="13" name="Rectangle: Rounded Corners 13"/>
                <wp:cNvGraphicFramePr/>
                <a:graphic xmlns:a="http://schemas.openxmlformats.org/drawingml/2006/main">
                  <a:graphicData uri="http://schemas.microsoft.com/office/word/2010/wordprocessingShape">
                    <wps:wsp>
                      <wps:cNvSpPr/>
                      <wps:spPr>
                        <a:xfrm>
                          <a:off x="0" y="0"/>
                          <a:ext cx="4791075" cy="6912610"/>
                        </a:xfrm>
                        <a:prstGeom prst="roundRect">
                          <a:avLst/>
                        </a:prstGeom>
                        <a:solidFill>
                          <a:srgbClr val="F7E0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3FFF49" id="Rectangle: Rounded Corners 13" o:spid="_x0000_s1026" style="position:absolute;margin-left:-81pt;margin-top:-186.05pt;width:377.25pt;height:544.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" fillcolor="#f7e0d9" stroked="f" strokeweight="1pt">
                <v:stroke joinstyle="miter"/>
                <w10:wrap anchorx="page"/>
              </v:roundrect>
            </w:pict>
          </mc:Fallback>
        </mc:AlternateContent>
      </w:r>
      <w:r w:rsidR="00ED6FE7">
        <w:t>Reflective activity (</w:t>
      </w:r>
      <w:r w:rsidR="004F3EF8">
        <w:t xml:space="preserve">c. </w:t>
      </w:r>
      <w:r w:rsidR="00ED6FE7">
        <w:t>30 mins)</w:t>
      </w:r>
    </w:p>
    <w:p w14:paraId="1C5790D5" w14:textId="77777777" w:rsidR="00ED6FE7" w:rsidRPr="00ED6FE7" w:rsidRDefault="00ED6FE7" w:rsidP="00ED6FE7">
      <w:pPr>
        <w:rPr>
          <w:rStyle w:val="Strong"/>
        </w:rPr>
      </w:pPr>
      <w:r w:rsidRPr="00ED6FE7">
        <w:rPr>
          <w:rStyle w:val="Strong"/>
        </w:rPr>
        <w:t>What does plagiarism mean to you? Do you have experience of it? Is it an issue for you in your subject area, and if so, why?</w:t>
      </w:r>
    </w:p>
    <w:p w14:paraId="665BF4FF" w14:textId="77777777" w:rsidR="00ED6FE7" w:rsidRPr="00397028" w:rsidRDefault="00ED6FE7" w:rsidP="00ED6FE7">
      <w:r w:rsidRPr="00397028">
        <w:t xml:space="preserve">In this task you are encouraged to think deeply about assessment designs in your immediate context through the lens of plagiarism. The aim is to </w:t>
      </w:r>
      <w:r w:rsidR="004F3EF8">
        <w:t>reflect on</w:t>
      </w:r>
      <w:r w:rsidRPr="00397028">
        <w:t xml:space="preserve"> the robustness of assessment designs using</w:t>
      </w:r>
      <w:r>
        <w:t xml:space="preserve"> the </w:t>
      </w:r>
      <w:r w:rsidRPr="00397028">
        <w:t xml:space="preserve">ideas </w:t>
      </w:r>
      <w:r>
        <w:t xml:space="preserve">in this </w:t>
      </w:r>
      <w:r w:rsidR="004F3EF8">
        <w:t xml:space="preserve">short </w:t>
      </w:r>
      <w:r>
        <w:t>guide.</w:t>
      </w:r>
    </w:p>
    <w:p w14:paraId="70D2CEA0" w14:textId="77777777" w:rsidR="00ED6FE7" w:rsidRPr="00397028" w:rsidRDefault="00ED6FE7" w:rsidP="00ED6FE7">
      <w:pPr>
        <w:rPr>
          <w:rFonts w:eastAsia="Times New Roman"/>
          <w:color w:val="000000"/>
          <w:lang w:val="en" w:eastAsia="en-GB"/>
        </w:rPr>
      </w:pPr>
      <w:r w:rsidRPr="00397028">
        <w:t xml:space="preserve">Consider Jude Carroll’s strategies for assessment design. </w:t>
      </w:r>
      <w:r w:rsidRPr="00397028">
        <w:rPr>
          <w:rFonts w:eastAsia="Times New Roman"/>
          <w:color w:val="000000"/>
          <w:lang w:val="en" w:eastAsia="en-GB"/>
        </w:rPr>
        <w:t xml:space="preserve">Think about an example of assessment that you currently use in your own teaching practice, or elsewhere within the </w:t>
      </w:r>
      <w:proofErr w:type="spellStart"/>
      <w:r w:rsidRPr="00397028">
        <w:rPr>
          <w:rFonts w:eastAsia="Times New Roman"/>
          <w:color w:val="000000"/>
          <w:lang w:val="en" w:eastAsia="en-GB"/>
        </w:rPr>
        <w:t>programme</w:t>
      </w:r>
      <w:proofErr w:type="spellEnd"/>
      <w:r w:rsidRPr="00397028">
        <w:rPr>
          <w:rFonts w:eastAsia="Times New Roman"/>
          <w:color w:val="000000"/>
          <w:lang w:val="en" w:eastAsia="en-GB"/>
        </w:rPr>
        <w:t xml:space="preserve"> of study to which you contribute.</w:t>
      </w:r>
    </w:p>
    <w:p w14:paraId="624DB0DB" w14:textId="77777777" w:rsidR="00ED6FE7" w:rsidRPr="00ED6FE7" w:rsidRDefault="00ED6FE7" w:rsidP="00ED6FE7">
      <w:pPr>
        <w:pStyle w:val="ListParagraph"/>
        <w:numPr>
          <w:ilvl w:val="0"/>
          <w:numId w:val="16"/>
        </w:numPr>
        <w:ind w:left="284" w:hanging="284"/>
        <w:rPr>
          <w:rFonts w:eastAsia="Times New Roman"/>
          <w:color w:val="000000"/>
          <w:lang w:val="en" w:eastAsia="en-GB"/>
        </w:rPr>
      </w:pPr>
      <w:r w:rsidRPr="00ED6FE7">
        <w:rPr>
          <w:rFonts w:eastAsia="Times New Roman"/>
          <w:color w:val="000000"/>
          <w:lang w:val="en" w:eastAsia="en-GB"/>
        </w:rPr>
        <w:t>To what extent has the method been designed in a way that satisfies any of the three strategies outlined?</w:t>
      </w:r>
    </w:p>
    <w:p w14:paraId="5986AE94" w14:textId="77777777" w:rsidR="00ED6FE7" w:rsidRDefault="00ED6FE7" w:rsidP="00ED6FE7">
      <w:pPr>
        <w:pStyle w:val="ListParagraph"/>
        <w:numPr>
          <w:ilvl w:val="0"/>
          <w:numId w:val="16"/>
        </w:numPr>
        <w:ind w:left="284" w:hanging="284"/>
        <w:rPr>
          <w:rFonts w:eastAsia="Times New Roman"/>
          <w:color w:val="000000"/>
          <w:lang w:val="en" w:eastAsia="en-GB"/>
        </w:rPr>
      </w:pPr>
      <w:r w:rsidRPr="00ED6FE7">
        <w:rPr>
          <w:rFonts w:eastAsia="Times New Roman"/>
          <w:color w:val="000000"/>
          <w:lang w:val="en" w:eastAsia="en-GB"/>
        </w:rPr>
        <w:t xml:space="preserve">Consider ways in which assessment methods could be adapted to reduce the chances that students may </w:t>
      </w:r>
      <w:proofErr w:type="spellStart"/>
      <w:r w:rsidRPr="00ED6FE7">
        <w:rPr>
          <w:rFonts w:eastAsia="Times New Roman"/>
          <w:color w:val="000000"/>
          <w:lang w:val="en" w:eastAsia="en-GB"/>
        </w:rPr>
        <w:t>plagiarise</w:t>
      </w:r>
      <w:proofErr w:type="spellEnd"/>
      <w:r w:rsidRPr="00ED6FE7">
        <w:rPr>
          <w:rFonts w:eastAsia="Times New Roman"/>
          <w:color w:val="000000"/>
          <w:lang w:val="en" w:eastAsia="en-GB"/>
        </w:rPr>
        <w:t xml:space="preserve"> in their assessment work.</w:t>
      </w:r>
    </w:p>
    <w:p w14:paraId="1EE4489F" w14:textId="77777777" w:rsidR="004F3EF8" w:rsidRDefault="004F3EF8" w:rsidP="004F3EF8">
      <w:pPr>
        <w:rPr>
          <w:rFonts w:eastAsia="Times New Roman"/>
          <w:color w:val="000000"/>
          <w:lang w:val="en" w:eastAsia="en-GB"/>
        </w:rPr>
      </w:pPr>
    </w:p>
    <w:p w14:paraId="36C2C1F8" w14:textId="77777777" w:rsidR="004F3EF8" w:rsidRDefault="004F3EF8" w:rsidP="004F3EF8">
      <w:pPr>
        <w:rPr>
          <w:rFonts w:eastAsia="Times New Roman"/>
          <w:color w:val="000000"/>
          <w:lang w:val="en" w:eastAsia="en-GB"/>
        </w:rPr>
      </w:pPr>
    </w:p>
    <w:p w14:paraId="68982880" w14:textId="77777777" w:rsidR="004F3EF8" w:rsidRDefault="004F3EF8" w:rsidP="004F3EF8">
      <w:pPr>
        <w:rPr>
          <w:rFonts w:eastAsia="Times New Roman"/>
          <w:color w:val="000000"/>
          <w:lang w:val="en" w:eastAsia="en-GB"/>
        </w:rPr>
      </w:pPr>
    </w:p>
    <w:p w14:paraId="3056956F" w14:textId="77777777" w:rsidR="004F3EF8" w:rsidRDefault="004F3EF8" w:rsidP="004F3EF8">
      <w:pPr>
        <w:rPr>
          <w:rFonts w:eastAsia="Times New Roman"/>
          <w:color w:val="000000"/>
          <w:lang w:val="en" w:eastAsia="en-GB"/>
        </w:rPr>
      </w:pPr>
    </w:p>
    <w:p w14:paraId="04AFA27D" w14:textId="77777777" w:rsidR="004F3EF8" w:rsidRDefault="004F3EF8" w:rsidP="004F3EF8">
      <w:pPr>
        <w:rPr>
          <w:rFonts w:eastAsia="Times New Roman"/>
          <w:color w:val="000000"/>
          <w:lang w:val="en" w:eastAsia="en-GB"/>
        </w:rPr>
      </w:pPr>
    </w:p>
    <w:p w14:paraId="60F93CBF" w14:textId="77777777" w:rsidR="004F3EF8" w:rsidRDefault="004F3EF8" w:rsidP="004F3EF8">
      <w:pPr>
        <w:rPr>
          <w:rFonts w:eastAsia="Times New Roman"/>
          <w:color w:val="000000"/>
          <w:lang w:val="en" w:eastAsia="en-GB"/>
        </w:rPr>
      </w:pPr>
    </w:p>
    <w:p w14:paraId="549C5316" w14:textId="77777777" w:rsidR="004F3EF8" w:rsidRDefault="004F3EF8" w:rsidP="004F3EF8">
      <w:pPr>
        <w:rPr>
          <w:rFonts w:eastAsia="Times New Roman"/>
          <w:color w:val="000000"/>
          <w:lang w:val="en" w:eastAsia="en-GB"/>
        </w:rPr>
      </w:pPr>
    </w:p>
    <w:p w14:paraId="0C2C5BD2" w14:textId="77777777" w:rsidR="004F3EF8" w:rsidRDefault="004F3EF8" w:rsidP="004F3EF8">
      <w:pPr>
        <w:rPr>
          <w:rFonts w:eastAsia="Times New Roman"/>
          <w:color w:val="000000"/>
          <w:lang w:val="en" w:eastAsia="en-GB"/>
        </w:rPr>
      </w:pPr>
    </w:p>
    <w:p w14:paraId="1CCB3F30" w14:textId="77777777" w:rsidR="004F3EF8" w:rsidRDefault="004F3EF8" w:rsidP="004F3EF8">
      <w:pPr>
        <w:rPr>
          <w:rFonts w:eastAsia="Times New Roman"/>
          <w:color w:val="000000"/>
          <w:lang w:val="en" w:eastAsia="en-GB"/>
        </w:rPr>
      </w:pPr>
    </w:p>
    <w:p w14:paraId="3C43DB3F" w14:textId="77777777" w:rsidR="004F3EF8" w:rsidRDefault="004F3EF8" w:rsidP="004F3EF8">
      <w:pPr>
        <w:rPr>
          <w:rFonts w:eastAsia="Times New Roman"/>
          <w:color w:val="000000"/>
          <w:lang w:val="en" w:eastAsia="en-GB"/>
        </w:rPr>
      </w:pPr>
    </w:p>
    <w:p w14:paraId="123ECC51" w14:textId="77777777" w:rsidR="004F3EF8" w:rsidRDefault="004F3EF8" w:rsidP="004F3EF8">
      <w:pPr>
        <w:rPr>
          <w:rFonts w:eastAsia="Times New Roman"/>
          <w:color w:val="000000"/>
          <w:lang w:val="en" w:eastAsia="en-GB"/>
        </w:rPr>
      </w:pPr>
    </w:p>
    <w:p w14:paraId="0E30FD65" w14:textId="77777777" w:rsidR="004F3EF8" w:rsidRDefault="004F3EF8" w:rsidP="004F3EF8">
      <w:pPr>
        <w:rPr>
          <w:rFonts w:eastAsia="Times New Roman"/>
          <w:color w:val="000000"/>
          <w:lang w:val="en" w:eastAsia="en-GB"/>
        </w:rPr>
      </w:pPr>
    </w:p>
    <w:p w14:paraId="0875C77D" w14:textId="686357AA" w:rsidR="004F3EF8" w:rsidRPr="00CE3131" w:rsidRDefault="004F3EF8" w:rsidP="004F3EF8">
      <w:pPr>
        <w:rPr>
          <w:sz w:val="22"/>
        </w:rPr>
      </w:pPr>
      <w:r w:rsidRPr="00CE3131">
        <w:rPr>
          <w:sz w:val="22"/>
        </w:rPr>
        <w:t xml:space="preserve">Simon Allan, </w:t>
      </w:r>
      <w:r w:rsidR="00B1627C">
        <w:rPr>
          <w:sz w:val="22"/>
        </w:rPr>
        <w:t xml:space="preserve">Curriculum and </w:t>
      </w:r>
      <w:r w:rsidRPr="00CE3131">
        <w:rPr>
          <w:sz w:val="22"/>
        </w:rPr>
        <w:t>Education Development</w:t>
      </w:r>
      <w:r w:rsidR="00B1627C">
        <w:rPr>
          <w:sz w:val="22"/>
        </w:rPr>
        <w:t xml:space="preserve"> Academy</w:t>
      </w:r>
    </w:p>
    <w:p w14:paraId="2972B7F1" w14:textId="77777777" w:rsidR="004F3EF8" w:rsidRPr="004F3EF8" w:rsidRDefault="004F3EF8" w:rsidP="004F3EF8">
      <w:pPr>
        <w:rPr>
          <w:sz w:val="22"/>
        </w:rPr>
      </w:pPr>
      <w:r w:rsidRPr="00CE3131">
        <w:rPr>
          <w:sz w:val="22"/>
        </w:rPr>
        <w:t>v2 updated August 2021</w:t>
      </w:r>
    </w:p>
    <w:p w14:paraId="31074E80" w14:textId="77777777" w:rsidR="003A5E79" w:rsidRDefault="00ED6FE7" w:rsidP="003A5E79">
      <w:pPr>
        <w:pStyle w:val="Heading3"/>
      </w:pPr>
      <w:r>
        <w:rPr>
          <w:lang w:val="en"/>
        </w:rPr>
        <w:br w:type="column"/>
      </w:r>
      <w:r w:rsidR="003A5E79">
        <w:t>References</w:t>
      </w:r>
    </w:p>
    <w:p w14:paraId="005B55F4" w14:textId="77777777" w:rsidR="00DC0388" w:rsidRPr="00DC0388" w:rsidRDefault="00DC0388" w:rsidP="00DC0388">
      <w:pPr>
        <w:shd w:val="clear" w:color="auto" w:fill="FFFFFF"/>
        <w:spacing w:before="100" w:beforeAutospacing="1" w:after="100" w:afterAutospacing="1" w:line="300" w:lineRule="atLeast"/>
        <w:rPr>
          <w:sz w:val="22"/>
          <w:lang w:val="en"/>
        </w:rPr>
      </w:pPr>
      <w:r w:rsidRPr="00DC0388">
        <w:rPr>
          <w:sz w:val="22"/>
          <w:lang w:val="en"/>
        </w:rPr>
        <w:t xml:space="preserve">Brown, N. and Janssen, R. (2017) Preventing plagiarism and fostering academic integrity: a practical approach. </w:t>
      </w:r>
      <w:r w:rsidRPr="004F3EF8">
        <w:rPr>
          <w:i/>
          <w:sz w:val="22"/>
          <w:lang w:val="en"/>
        </w:rPr>
        <w:t>Journal of Perspectives in Applied Academic Practice</w:t>
      </w:r>
      <w:r w:rsidRPr="00DC0388">
        <w:rPr>
          <w:sz w:val="22"/>
          <w:lang w:val="en"/>
        </w:rPr>
        <w:t>. Vol. 5. No. 3. pp. 102-109</w:t>
      </w:r>
    </w:p>
    <w:p w14:paraId="4AFD0FC3" w14:textId="77777777" w:rsidR="00DC0388" w:rsidRPr="00DC0388" w:rsidRDefault="00DC0388" w:rsidP="00DC0388">
      <w:pPr>
        <w:shd w:val="clear" w:color="auto" w:fill="FFFFFF"/>
        <w:spacing w:before="100" w:beforeAutospacing="1" w:after="100" w:afterAutospacing="1" w:line="300" w:lineRule="atLeast"/>
        <w:rPr>
          <w:sz w:val="22"/>
          <w:lang w:val="en"/>
        </w:rPr>
      </w:pPr>
      <w:r w:rsidRPr="00DC0388">
        <w:rPr>
          <w:sz w:val="22"/>
          <w:lang w:val="en"/>
        </w:rPr>
        <w:t xml:space="preserve">Carroll, J. (2013) </w:t>
      </w:r>
      <w:r w:rsidRPr="00DC0388">
        <w:rPr>
          <w:i/>
          <w:sz w:val="22"/>
          <w:lang w:val="en"/>
        </w:rPr>
        <w:t>A handbook for deterring plagiarism in Higher Education</w:t>
      </w:r>
      <w:r w:rsidRPr="00DC0388">
        <w:rPr>
          <w:sz w:val="22"/>
          <w:lang w:val="en"/>
        </w:rPr>
        <w:t>. 2</w:t>
      </w:r>
      <w:r w:rsidRPr="00DC0388">
        <w:rPr>
          <w:sz w:val="22"/>
          <w:vertAlign w:val="superscript"/>
          <w:lang w:val="en"/>
        </w:rPr>
        <w:t>nd</w:t>
      </w:r>
      <w:r w:rsidRPr="00DC0388">
        <w:rPr>
          <w:sz w:val="22"/>
          <w:lang w:val="en"/>
        </w:rPr>
        <w:t xml:space="preserve"> </w:t>
      </w:r>
      <w:proofErr w:type="spellStart"/>
      <w:r w:rsidRPr="00DC0388">
        <w:rPr>
          <w:sz w:val="22"/>
          <w:lang w:val="en"/>
        </w:rPr>
        <w:t>edn</w:t>
      </w:r>
      <w:proofErr w:type="spellEnd"/>
      <w:r w:rsidRPr="00DC0388">
        <w:rPr>
          <w:sz w:val="22"/>
          <w:lang w:val="en"/>
        </w:rPr>
        <w:t>. Oxford Centre for Staff and Learning Development. Oxford.</w:t>
      </w:r>
    </w:p>
    <w:p w14:paraId="6952866D" w14:textId="77777777" w:rsidR="00DC0388" w:rsidRPr="00DC0388" w:rsidRDefault="00DC0388" w:rsidP="00DC0388">
      <w:pPr>
        <w:shd w:val="clear" w:color="auto" w:fill="FFFFFF"/>
        <w:spacing w:before="100" w:beforeAutospacing="1" w:after="100" w:afterAutospacing="1" w:line="300" w:lineRule="atLeast"/>
        <w:rPr>
          <w:sz w:val="22"/>
          <w:lang w:val="en"/>
        </w:rPr>
      </w:pPr>
      <w:r w:rsidRPr="00DC0388">
        <w:rPr>
          <w:sz w:val="22"/>
          <w:lang w:val="en"/>
        </w:rPr>
        <w:t xml:space="preserve">Macdonald, R. and Carroll, J. (2006) Plagiarism – a complex issue requiring a holistic institutional approach. </w:t>
      </w:r>
      <w:r w:rsidRPr="00DC0388">
        <w:rPr>
          <w:i/>
          <w:sz w:val="22"/>
          <w:lang w:val="en"/>
        </w:rPr>
        <w:t>Assessment and Evaluation in Higher Education</w:t>
      </w:r>
      <w:r w:rsidRPr="00DC0388">
        <w:rPr>
          <w:sz w:val="22"/>
          <w:lang w:val="en"/>
        </w:rPr>
        <w:t>. Vol. 31, No. 2. pp. 233-245</w:t>
      </w:r>
    </w:p>
    <w:p w14:paraId="1DFC02FA" w14:textId="77777777" w:rsidR="00DC0388" w:rsidRPr="00DC0388" w:rsidRDefault="00DC0388" w:rsidP="00DC0388">
      <w:pPr>
        <w:shd w:val="clear" w:color="auto" w:fill="FFFFFF"/>
        <w:spacing w:before="100" w:beforeAutospacing="1" w:after="100" w:afterAutospacing="1" w:line="300" w:lineRule="atLeast"/>
        <w:rPr>
          <w:sz w:val="22"/>
          <w:lang w:val="en"/>
        </w:rPr>
      </w:pPr>
      <w:r w:rsidRPr="00DC0388">
        <w:rPr>
          <w:sz w:val="22"/>
          <w:lang w:val="en"/>
        </w:rPr>
        <w:t xml:space="preserve">Medway, D. Roper, S and Gillooly, L. (2018) Contract cheating in UK higher education: A covert investigation of essay mills. </w:t>
      </w:r>
      <w:r w:rsidRPr="00DC0388">
        <w:rPr>
          <w:i/>
          <w:sz w:val="22"/>
          <w:lang w:val="en"/>
        </w:rPr>
        <w:t>British Educational Research Journal</w:t>
      </w:r>
      <w:r w:rsidRPr="00DC0388">
        <w:rPr>
          <w:sz w:val="22"/>
          <w:lang w:val="en"/>
        </w:rPr>
        <w:t>. Vo</w:t>
      </w:r>
      <w:r w:rsidR="00C53DBA">
        <w:rPr>
          <w:sz w:val="22"/>
          <w:lang w:val="en"/>
        </w:rPr>
        <w:t>l</w:t>
      </w:r>
      <w:r w:rsidRPr="00DC0388">
        <w:rPr>
          <w:sz w:val="22"/>
          <w:lang w:val="en"/>
        </w:rPr>
        <w:t>. 44, No. 3. pp. 393-418</w:t>
      </w:r>
    </w:p>
    <w:p w14:paraId="680B0291" w14:textId="77777777" w:rsidR="00DC0388" w:rsidRPr="00DC0388" w:rsidRDefault="00DC0388" w:rsidP="00DC0388">
      <w:pPr>
        <w:shd w:val="clear" w:color="auto" w:fill="FFFFFF"/>
        <w:spacing w:before="100" w:beforeAutospacing="1" w:after="100" w:afterAutospacing="1" w:line="300" w:lineRule="atLeast"/>
        <w:rPr>
          <w:sz w:val="22"/>
        </w:rPr>
      </w:pPr>
      <w:r w:rsidRPr="00DC0388">
        <w:rPr>
          <w:sz w:val="22"/>
          <w:lang w:val="en"/>
        </w:rPr>
        <w:t xml:space="preserve">Newton, P. M. (2018) How common is commercial contract cheating in Higher Education and is it increasing? A systematic review. </w:t>
      </w:r>
      <w:r w:rsidRPr="004F3EF8">
        <w:rPr>
          <w:i/>
          <w:sz w:val="22"/>
          <w:lang w:val="en"/>
        </w:rPr>
        <w:t>Frontiers in Education</w:t>
      </w:r>
      <w:r w:rsidRPr="00DC0388">
        <w:rPr>
          <w:sz w:val="22"/>
          <w:lang w:val="en"/>
        </w:rPr>
        <w:t>. Available online from</w:t>
      </w:r>
      <w:r w:rsidR="00C53DBA">
        <w:rPr>
          <w:sz w:val="22"/>
          <w:lang w:val="en"/>
        </w:rPr>
        <w:t xml:space="preserve">: </w:t>
      </w:r>
      <w:r w:rsidR="00C53DBA" w:rsidRPr="00C53DBA">
        <w:t xml:space="preserve"> </w:t>
      </w:r>
      <w:hyperlink r:id="rId8" w:history="1">
        <w:r w:rsidR="00C53DBA" w:rsidRPr="00C53DBA">
          <w:rPr>
            <w:rStyle w:val="Hyperlink"/>
            <w:rFonts w:ascii="Calibri Light" w:hAnsi="Calibri Light"/>
            <w:lang w:val="en"/>
          </w:rPr>
          <w:t>https://www.frontiersin.org/articles/10.3389/feduc.2018.00067/full</w:t>
        </w:r>
      </w:hyperlink>
    </w:p>
    <w:p w14:paraId="096E550A" w14:textId="4626F51E" w:rsidR="003A5E79" w:rsidRPr="00E1035E" w:rsidRDefault="00DC0388" w:rsidP="00E1035E">
      <w:pPr>
        <w:shd w:val="clear" w:color="auto" w:fill="FFFFFF"/>
        <w:spacing w:before="100" w:beforeAutospacing="1" w:after="100" w:afterAutospacing="1" w:line="300" w:lineRule="atLeast"/>
        <w:rPr>
          <w:lang w:val="en"/>
        </w:rPr>
      </w:pPr>
      <w:r w:rsidRPr="00DC0388">
        <w:rPr>
          <w:sz w:val="22"/>
        </w:rPr>
        <w:t xml:space="preserve">Quality Assurance Agency (2016) </w:t>
      </w:r>
      <w:r w:rsidRPr="00DC0388">
        <w:rPr>
          <w:i/>
          <w:sz w:val="22"/>
        </w:rPr>
        <w:t>Plagiarism in Higher Education. Custom essay writing services: an exploration and next steps for the UK higher education sector.</w:t>
      </w:r>
      <w:r w:rsidRPr="00DC0388">
        <w:rPr>
          <w:sz w:val="22"/>
        </w:rPr>
        <w:t xml:space="preserve"> Available online from: </w:t>
      </w:r>
      <w:hyperlink r:id="rId9" w:history="1">
        <w:r w:rsidR="00C53DBA" w:rsidRPr="00C53DBA">
          <w:rPr>
            <w:rStyle w:val="Hyperlink"/>
            <w:rFonts w:ascii="Calibri Light" w:hAnsi="Calibri Light"/>
          </w:rPr>
          <w:t>https://www.qaa.ac.uk/docs/qaa/quality-code/plagiarism-in-higher-education-2016.pdf</w:t>
        </w:r>
      </w:hyperlink>
    </w:p>
    <w:p w14:paraId="68C1045F" w14:textId="77777777" w:rsidR="00BE2447" w:rsidRDefault="00BE2447" w:rsidP="00BE2447"/>
    <w:p w14:paraId="4FD1A300" w14:textId="77777777" w:rsidR="009C39D6" w:rsidRDefault="009C39D6" w:rsidP="00A71945">
      <w:pPr>
        <w:rPr>
          <w:lang w:eastAsia="en-GB"/>
        </w:rPr>
      </w:pPr>
    </w:p>
    <w:p w14:paraId="386725D2" w14:textId="77777777" w:rsidR="004F3EF8" w:rsidRPr="009C39D6" w:rsidRDefault="004F3EF8" w:rsidP="00A71945">
      <w:pPr>
        <w:rPr>
          <w:lang w:eastAsia="en-GB"/>
        </w:rPr>
      </w:pPr>
    </w:p>
    <w:sectPr w:rsidR="004F3EF8" w:rsidRPr="009C39D6" w:rsidSect="00ED6FE7">
      <w:footerReference w:type="default" r:id="rId10"/>
      <w:type w:val="continuous"/>
      <w:pgSz w:w="11906" w:h="16838"/>
      <w:pgMar w:top="2552" w:right="720" w:bottom="1843" w:left="720" w:header="708" w:footer="708"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9BD35" w14:textId="77777777" w:rsidR="00B1627C" w:rsidRDefault="00B1627C" w:rsidP="00B1627C">
      <w:pPr>
        <w:spacing w:before="0" w:after="0"/>
      </w:pPr>
      <w:r>
        <w:separator/>
      </w:r>
    </w:p>
  </w:endnote>
  <w:endnote w:type="continuationSeparator" w:id="0">
    <w:p w14:paraId="42A9EFDE" w14:textId="77777777" w:rsidR="00B1627C" w:rsidRDefault="00B1627C" w:rsidP="00B162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3160" w14:textId="134F1DFF" w:rsidR="00B1627C" w:rsidRDefault="00B1627C" w:rsidP="00B1627C">
    <w:pPr>
      <w:pStyle w:val="Footer"/>
      <w:jc w:val="right"/>
    </w:pPr>
    <w:r>
      <w:rPr>
        <w:noProof/>
      </w:rPr>
      <w:drawing>
        <wp:inline distT="0" distB="0" distL="0" distR="0" wp14:anchorId="5D3E7F40" wp14:editId="5D273BCC">
          <wp:extent cx="3404972" cy="461977"/>
          <wp:effectExtent l="0" t="0" r="5080" b="0"/>
          <wp:docPr id="631355328"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355328" name="Picture 1"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20417" cy="4776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B030F" w14:textId="77777777" w:rsidR="00B1627C" w:rsidRDefault="00B1627C" w:rsidP="00B1627C">
      <w:pPr>
        <w:spacing w:before="0" w:after="0"/>
      </w:pPr>
      <w:r>
        <w:separator/>
      </w:r>
    </w:p>
  </w:footnote>
  <w:footnote w:type="continuationSeparator" w:id="0">
    <w:p w14:paraId="1F847A10" w14:textId="77777777" w:rsidR="00B1627C" w:rsidRDefault="00B1627C" w:rsidP="00B1627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088"/>
    <w:multiLevelType w:val="hybridMultilevel"/>
    <w:tmpl w:val="2CD2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E3B69"/>
    <w:multiLevelType w:val="hybridMultilevel"/>
    <w:tmpl w:val="E3CA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66905"/>
    <w:multiLevelType w:val="hybridMultilevel"/>
    <w:tmpl w:val="78502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6D1355"/>
    <w:multiLevelType w:val="hybridMultilevel"/>
    <w:tmpl w:val="BD7E3D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1774E9"/>
    <w:multiLevelType w:val="hybridMultilevel"/>
    <w:tmpl w:val="C4BE4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4B6E85"/>
    <w:multiLevelType w:val="hybridMultilevel"/>
    <w:tmpl w:val="4156EF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5D7AB3"/>
    <w:multiLevelType w:val="hybridMultilevel"/>
    <w:tmpl w:val="E7ECEC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B25F78"/>
    <w:multiLevelType w:val="hybridMultilevel"/>
    <w:tmpl w:val="8620F7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2A424A"/>
    <w:multiLevelType w:val="hybridMultilevel"/>
    <w:tmpl w:val="93083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5B127C"/>
    <w:multiLevelType w:val="hybridMultilevel"/>
    <w:tmpl w:val="8A30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D90A50"/>
    <w:multiLevelType w:val="hybridMultilevel"/>
    <w:tmpl w:val="9A1EF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EE5313"/>
    <w:multiLevelType w:val="hybridMultilevel"/>
    <w:tmpl w:val="6F68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6E2D48"/>
    <w:multiLevelType w:val="hybridMultilevel"/>
    <w:tmpl w:val="A3DE2440"/>
    <w:lvl w:ilvl="0" w:tplc="0D34C1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CD45B9"/>
    <w:multiLevelType w:val="hybridMultilevel"/>
    <w:tmpl w:val="3476E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9D4E49"/>
    <w:multiLevelType w:val="hybridMultilevel"/>
    <w:tmpl w:val="3A10F148"/>
    <w:lvl w:ilvl="0" w:tplc="D9B6B1E6">
      <w:start w:val="1"/>
      <w:numFmt w:val="decimal"/>
      <w:lvlText w:val="%1."/>
      <w:lvlJc w:val="left"/>
      <w:pPr>
        <w:tabs>
          <w:tab w:val="num" w:pos="720"/>
        </w:tabs>
        <w:ind w:left="720" w:hanging="360"/>
      </w:pPr>
    </w:lvl>
    <w:lvl w:ilvl="1" w:tplc="75409468" w:tentative="1">
      <w:start w:val="1"/>
      <w:numFmt w:val="decimal"/>
      <w:lvlText w:val="%2."/>
      <w:lvlJc w:val="left"/>
      <w:pPr>
        <w:tabs>
          <w:tab w:val="num" w:pos="1440"/>
        </w:tabs>
        <w:ind w:left="1440" w:hanging="360"/>
      </w:pPr>
    </w:lvl>
    <w:lvl w:ilvl="2" w:tplc="0088BA50" w:tentative="1">
      <w:start w:val="1"/>
      <w:numFmt w:val="decimal"/>
      <w:lvlText w:val="%3."/>
      <w:lvlJc w:val="left"/>
      <w:pPr>
        <w:tabs>
          <w:tab w:val="num" w:pos="2160"/>
        </w:tabs>
        <w:ind w:left="2160" w:hanging="360"/>
      </w:pPr>
    </w:lvl>
    <w:lvl w:ilvl="3" w:tplc="217CE324" w:tentative="1">
      <w:start w:val="1"/>
      <w:numFmt w:val="decimal"/>
      <w:lvlText w:val="%4."/>
      <w:lvlJc w:val="left"/>
      <w:pPr>
        <w:tabs>
          <w:tab w:val="num" w:pos="2880"/>
        </w:tabs>
        <w:ind w:left="2880" w:hanging="360"/>
      </w:pPr>
    </w:lvl>
    <w:lvl w:ilvl="4" w:tplc="702A82A8" w:tentative="1">
      <w:start w:val="1"/>
      <w:numFmt w:val="decimal"/>
      <w:lvlText w:val="%5."/>
      <w:lvlJc w:val="left"/>
      <w:pPr>
        <w:tabs>
          <w:tab w:val="num" w:pos="3600"/>
        </w:tabs>
        <w:ind w:left="3600" w:hanging="360"/>
      </w:pPr>
    </w:lvl>
    <w:lvl w:ilvl="5" w:tplc="EE7E06BA" w:tentative="1">
      <w:start w:val="1"/>
      <w:numFmt w:val="decimal"/>
      <w:lvlText w:val="%6."/>
      <w:lvlJc w:val="left"/>
      <w:pPr>
        <w:tabs>
          <w:tab w:val="num" w:pos="4320"/>
        </w:tabs>
        <w:ind w:left="4320" w:hanging="360"/>
      </w:pPr>
    </w:lvl>
    <w:lvl w:ilvl="6" w:tplc="6A56C734" w:tentative="1">
      <w:start w:val="1"/>
      <w:numFmt w:val="decimal"/>
      <w:lvlText w:val="%7."/>
      <w:lvlJc w:val="left"/>
      <w:pPr>
        <w:tabs>
          <w:tab w:val="num" w:pos="5040"/>
        </w:tabs>
        <w:ind w:left="5040" w:hanging="360"/>
      </w:pPr>
    </w:lvl>
    <w:lvl w:ilvl="7" w:tplc="B9568AFA" w:tentative="1">
      <w:start w:val="1"/>
      <w:numFmt w:val="decimal"/>
      <w:lvlText w:val="%8."/>
      <w:lvlJc w:val="left"/>
      <w:pPr>
        <w:tabs>
          <w:tab w:val="num" w:pos="5760"/>
        </w:tabs>
        <w:ind w:left="5760" w:hanging="360"/>
      </w:pPr>
    </w:lvl>
    <w:lvl w:ilvl="8" w:tplc="060AE76E" w:tentative="1">
      <w:start w:val="1"/>
      <w:numFmt w:val="decimal"/>
      <w:lvlText w:val="%9."/>
      <w:lvlJc w:val="left"/>
      <w:pPr>
        <w:tabs>
          <w:tab w:val="num" w:pos="6480"/>
        </w:tabs>
        <w:ind w:left="6480" w:hanging="360"/>
      </w:pPr>
    </w:lvl>
  </w:abstractNum>
  <w:abstractNum w:abstractNumId="15" w15:restartNumberingAfterBreak="0">
    <w:nsid w:val="78273AFD"/>
    <w:multiLevelType w:val="hybridMultilevel"/>
    <w:tmpl w:val="75940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4948926">
    <w:abstractNumId w:val="11"/>
  </w:num>
  <w:num w:numId="2" w16cid:durableId="1026445471">
    <w:abstractNumId w:val="4"/>
  </w:num>
  <w:num w:numId="3" w16cid:durableId="6755888">
    <w:abstractNumId w:val="0"/>
  </w:num>
  <w:num w:numId="4" w16cid:durableId="1440175196">
    <w:abstractNumId w:val="8"/>
  </w:num>
  <w:num w:numId="5" w16cid:durableId="1515069964">
    <w:abstractNumId w:val="13"/>
  </w:num>
  <w:num w:numId="6" w16cid:durableId="1128012433">
    <w:abstractNumId w:val="12"/>
  </w:num>
  <w:num w:numId="7" w16cid:durableId="1289969965">
    <w:abstractNumId w:val="14"/>
  </w:num>
  <w:num w:numId="8" w16cid:durableId="714546565">
    <w:abstractNumId w:val="2"/>
  </w:num>
  <w:num w:numId="9" w16cid:durableId="653097510">
    <w:abstractNumId w:val="10"/>
  </w:num>
  <w:num w:numId="10" w16cid:durableId="662467481">
    <w:abstractNumId w:val="1"/>
  </w:num>
  <w:num w:numId="11" w16cid:durableId="1900088223">
    <w:abstractNumId w:val="9"/>
  </w:num>
  <w:num w:numId="12" w16cid:durableId="529220709">
    <w:abstractNumId w:val="15"/>
  </w:num>
  <w:num w:numId="13" w16cid:durableId="839737323">
    <w:abstractNumId w:val="3"/>
  </w:num>
  <w:num w:numId="14" w16cid:durableId="791244381">
    <w:abstractNumId w:val="7"/>
  </w:num>
  <w:num w:numId="15" w16cid:durableId="1181705403">
    <w:abstractNumId w:val="6"/>
  </w:num>
  <w:num w:numId="16" w16cid:durableId="8534975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9D6"/>
    <w:rsid w:val="000E339D"/>
    <w:rsid w:val="000F1F2E"/>
    <w:rsid w:val="0012784B"/>
    <w:rsid w:val="00197778"/>
    <w:rsid w:val="003A5031"/>
    <w:rsid w:val="003A5E79"/>
    <w:rsid w:val="00487981"/>
    <w:rsid w:val="004F3EF8"/>
    <w:rsid w:val="006A5095"/>
    <w:rsid w:val="006B63EA"/>
    <w:rsid w:val="006E2A69"/>
    <w:rsid w:val="00703A8A"/>
    <w:rsid w:val="00717EBB"/>
    <w:rsid w:val="007521A8"/>
    <w:rsid w:val="007A2437"/>
    <w:rsid w:val="007A2ED2"/>
    <w:rsid w:val="008A60C4"/>
    <w:rsid w:val="008B5F71"/>
    <w:rsid w:val="00914E1F"/>
    <w:rsid w:val="009C39D6"/>
    <w:rsid w:val="009E4534"/>
    <w:rsid w:val="00A37453"/>
    <w:rsid w:val="00A71945"/>
    <w:rsid w:val="00B1627C"/>
    <w:rsid w:val="00B722BE"/>
    <w:rsid w:val="00BE2447"/>
    <w:rsid w:val="00C53DBA"/>
    <w:rsid w:val="00DC0388"/>
    <w:rsid w:val="00E1035E"/>
    <w:rsid w:val="00ED6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C626A"/>
  <w15:chartTrackingRefBased/>
  <w15:docId w15:val="{5A4C76EF-603B-48F0-8E33-EB874F74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9D6"/>
    <w:pPr>
      <w:spacing w:before="80" w:after="80" w:line="240" w:lineRule="auto"/>
    </w:pPr>
    <w:rPr>
      <w:rFonts w:ascii="Calibri Light" w:hAnsi="Calibri Light"/>
      <w:color w:val="262626" w:themeColor="text1" w:themeTint="D9"/>
      <w:sz w:val="24"/>
    </w:rPr>
  </w:style>
  <w:style w:type="paragraph" w:styleId="Heading1">
    <w:name w:val="heading 1"/>
    <w:basedOn w:val="Normal"/>
    <w:next w:val="Normal"/>
    <w:link w:val="Heading1Char"/>
    <w:uiPriority w:val="9"/>
    <w:qFormat/>
    <w:rsid w:val="00703A8A"/>
    <w:pPr>
      <w:keepNext/>
      <w:keepLines/>
      <w:spacing w:before="120" w:after="640" w:line="216" w:lineRule="auto"/>
      <w:outlineLvl w:val="0"/>
    </w:pPr>
    <w:rPr>
      <w:rFonts w:ascii="Rockwell" w:eastAsiaTheme="majorEastAsia" w:hAnsi="Rockwell" w:cstheme="majorBidi"/>
      <w:color w:val="FFFFFF" w:themeColor="background1"/>
      <w:sz w:val="56"/>
      <w:szCs w:val="32"/>
    </w:rPr>
  </w:style>
  <w:style w:type="paragraph" w:styleId="Heading2">
    <w:name w:val="heading 2"/>
    <w:basedOn w:val="Normal"/>
    <w:next w:val="Normal"/>
    <w:link w:val="Heading2Char"/>
    <w:uiPriority w:val="9"/>
    <w:unhideWhenUsed/>
    <w:qFormat/>
    <w:rsid w:val="00B1627C"/>
    <w:pPr>
      <w:keepNext/>
      <w:keepLines/>
      <w:spacing w:before="0"/>
      <w:outlineLvl w:val="1"/>
    </w:pPr>
    <w:rPr>
      <w:rFonts w:ascii="Calibri" w:eastAsiaTheme="majorEastAsia" w:hAnsi="Calibri" w:cstheme="majorBidi"/>
      <w:color w:val="C00000"/>
      <w:sz w:val="32"/>
      <w:szCs w:val="26"/>
    </w:rPr>
  </w:style>
  <w:style w:type="paragraph" w:styleId="Heading3">
    <w:name w:val="heading 3"/>
    <w:basedOn w:val="Normal"/>
    <w:next w:val="Normal"/>
    <w:link w:val="Heading3Char"/>
    <w:uiPriority w:val="9"/>
    <w:unhideWhenUsed/>
    <w:qFormat/>
    <w:rsid w:val="00B1627C"/>
    <w:pPr>
      <w:keepNext/>
      <w:keepLines/>
      <w:spacing w:before="240" w:after="40" w:line="259" w:lineRule="auto"/>
      <w:outlineLvl w:val="2"/>
    </w:pPr>
    <w:rPr>
      <w:rFonts w:asciiTheme="majorHAnsi" w:eastAsiaTheme="majorEastAsia" w:hAnsiTheme="majorHAnsi" w:cstheme="majorBidi"/>
      <w:color w:val="C00000"/>
      <w:sz w:val="28"/>
      <w:szCs w:val="24"/>
    </w:rPr>
  </w:style>
  <w:style w:type="paragraph" w:styleId="Heading4">
    <w:name w:val="heading 4"/>
    <w:basedOn w:val="Normal"/>
    <w:next w:val="Normal"/>
    <w:link w:val="Heading4Char"/>
    <w:uiPriority w:val="9"/>
    <w:unhideWhenUsed/>
    <w:qFormat/>
    <w:rsid w:val="00B1627C"/>
    <w:pPr>
      <w:keepNext/>
      <w:keepLines/>
      <w:spacing w:before="240" w:after="0"/>
      <w:outlineLvl w:val="3"/>
    </w:pPr>
    <w:rPr>
      <w:rFonts w:asciiTheme="majorHAnsi" w:eastAsiaTheme="majorEastAsia" w:hAnsiTheme="majorHAnsi" w:cstheme="majorBidi"/>
      <w:i/>
      <w:iCs/>
      <w:color w:val="C00000"/>
      <w:sz w:val="26"/>
    </w:rPr>
  </w:style>
  <w:style w:type="paragraph" w:styleId="Heading5">
    <w:name w:val="heading 5"/>
    <w:basedOn w:val="Normal"/>
    <w:next w:val="Normal"/>
    <w:link w:val="Heading5Char"/>
    <w:uiPriority w:val="9"/>
    <w:unhideWhenUsed/>
    <w:qFormat/>
    <w:rsid w:val="00A37453"/>
    <w:pPr>
      <w:keepNext/>
      <w:keepLines/>
      <w:spacing w:before="40" w:after="0"/>
      <w:outlineLvl w:val="4"/>
    </w:pPr>
    <w:rPr>
      <w:rFonts w:asciiTheme="majorHAnsi" w:eastAsiaTheme="majorEastAsia" w:hAnsiTheme="majorHAnsi" w:cstheme="majorBidi"/>
      <w:color w:val="B434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A8A"/>
    <w:rPr>
      <w:rFonts w:ascii="Rockwell" w:eastAsiaTheme="majorEastAsia" w:hAnsi="Rockwell" w:cstheme="majorBidi"/>
      <w:color w:val="FFFFFF" w:themeColor="background1"/>
      <w:sz w:val="56"/>
      <w:szCs w:val="32"/>
    </w:rPr>
  </w:style>
  <w:style w:type="character" w:customStyle="1" w:styleId="Heading2Char">
    <w:name w:val="Heading 2 Char"/>
    <w:basedOn w:val="DefaultParagraphFont"/>
    <w:link w:val="Heading2"/>
    <w:uiPriority w:val="9"/>
    <w:rsid w:val="00B1627C"/>
    <w:rPr>
      <w:rFonts w:ascii="Calibri" w:eastAsiaTheme="majorEastAsia" w:hAnsi="Calibri" w:cstheme="majorBidi"/>
      <w:color w:val="C00000"/>
      <w:sz w:val="32"/>
      <w:szCs w:val="26"/>
    </w:rPr>
  </w:style>
  <w:style w:type="character" w:customStyle="1" w:styleId="Heading3Char">
    <w:name w:val="Heading 3 Char"/>
    <w:basedOn w:val="DefaultParagraphFont"/>
    <w:link w:val="Heading3"/>
    <w:uiPriority w:val="9"/>
    <w:rsid w:val="00B1627C"/>
    <w:rPr>
      <w:rFonts w:asciiTheme="majorHAnsi" w:eastAsiaTheme="majorEastAsia" w:hAnsiTheme="majorHAnsi" w:cstheme="majorBidi"/>
      <w:color w:val="C00000"/>
      <w:sz w:val="28"/>
      <w:szCs w:val="24"/>
    </w:rPr>
  </w:style>
  <w:style w:type="paragraph" w:styleId="ListParagraph">
    <w:name w:val="List Paragraph"/>
    <w:basedOn w:val="Normal"/>
    <w:uiPriority w:val="34"/>
    <w:qFormat/>
    <w:rsid w:val="00BE2447"/>
    <w:pPr>
      <w:spacing w:before="120" w:after="120"/>
      <w:ind w:left="720"/>
    </w:pPr>
    <w:rPr>
      <w:rFonts w:eastAsia="Calibri" w:cs="Times New Roman"/>
      <w:color w:val="auto"/>
    </w:rPr>
  </w:style>
  <w:style w:type="paragraph" w:styleId="BalloonText">
    <w:name w:val="Balloon Text"/>
    <w:basedOn w:val="Normal"/>
    <w:link w:val="BalloonTextChar"/>
    <w:uiPriority w:val="99"/>
    <w:semiHidden/>
    <w:unhideWhenUsed/>
    <w:rsid w:val="00A7194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945"/>
    <w:rPr>
      <w:rFonts w:ascii="Segoe UI" w:hAnsi="Segoe UI" w:cs="Segoe UI"/>
      <w:color w:val="262626" w:themeColor="text1" w:themeTint="D9"/>
      <w:sz w:val="18"/>
      <w:szCs w:val="18"/>
    </w:rPr>
  </w:style>
  <w:style w:type="character" w:styleId="Hyperlink">
    <w:name w:val="Hyperlink"/>
    <w:basedOn w:val="DefaultParagraphFont"/>
    <w:uiPriority w:val="99"/>
    <w:unhideWhenUsed/>
    <w:rsid w:val="003A5E79"/>
    <w:rPr>
      <w:rFonts w:asciiTheme="minorHAnsi" w:hAnsiTheme="minorHAnsi"/>
      <w:strike w:val="0"/>
      <w:dstrike w:val="0"/>
      <w:color w:val="0070C0"/>
      <w:sz w:val="22"/>
      <w:u w:val="single"/>
      <w:effect w:val="none"/>
      <w:shd w:val="clear" w:color="auto" w:fill="auto"/>
    </w:rPr>
  </w:style>
  <w:style w:type="paragraph" w:styleId="NormalWeb">
    <w:name w:val="Normal (Web)"/>
    <w:basedOn w:val="Normal"/>
    <w:uiPriority w:val="99"/>
    <w:unhideWhenUsed/>
    <w:rsid w:val="003A5E79"/>
    <w:pPr>
      <w:spacing w:before="0" w:after="0"/>
    </w:pPr>
    <w:rPr>
      <w:rFonts w:ascii="Times New Roman" w:eastAsia="Times New Roman" w:hAnsi="Times New Roman" w:cs="Times New Roman"/>
      <w:color w:val="auto"/>
      <w:szCs w:val="24"/>
      <w:lang w:eastAsia="en-GB"/>
    </w:rPr>
  </w:style>
  <w:style w:type="character" w:styleId="Emphasis">
    <w:name w:val="Emphasis"/>
    <w:basedOn w:val="DefaultParagraphFont"/>
    <w:uiPriority w:val="20"/>
    <w:qFormat/>
    <w:rsid w:val="003A5E79"/>
    <w:rPr>
      <w:i/>
      <w:iCs/>
    </w:rPr>
  </w:style>
  <w:style w:type="character" w:styleId="SubtleReference">
    <w:name w:val="Subtle Reference"/>
    <w:basedOn w:val="DefaultParagraphFont"/>
    <w:uiPriority w:val="31"/>
    <w:qFormat/>
    <w:rsid w:val="003A5E79"/>
    <w:rPr>
      <w:rFonts w:ascii="Calibri Light" w:hAnsi="Calibri Light"/>
      <w:b w:val="0"/>
      <w:i w:val="0"/>
      <w:caps w:val="0"/>
      <w:smallCaps w:val="0"/>
      <w:strike w:val="0"/>
      <w:dstrike w:val="0"/>
      <w:color w:val="5A5A5A" w:themeColor="text1" w:themeTint="A5"/>
      <w:sz w:val="22"/>
      <w:vertAlign w:val="baseline"/>
    </w:rPr>
  </w:style>
  <w:style w:type="character" w:customStyle="1" w:styleId="Heading4Char">
    <w:name w:val="Heading 4 Char"/>
    <w:basedOn w:val="DefaultParagraphFont"/>
    <w:link w:val="Heading4"/>
    <w:uiPriority w:val="9"/>
    <w:rsid w:val="00B1627C"/>
    <w:rPr>
      <w:rFonts w:asciiTheme="majorHAnsi" w:eastAsiaTheme="majorEastAsia" w:hAnsiTheme="majorHAnsi" w:cstheme="majorBidi"/>
      <w:i/>
      <w:iCs/>
      <w:color w:val="C00000"/>
      <w:sz w:val="26"/>
    </w:rPr>
  </w:style>
  <w:style w:type="character" w:customStyle="1" w:styleId="Heading5Char">
    <w:name w:val="Heading 5 Char"/>
    <w:basedOn w:val="DefaultParagraphFont"/>
    <w:link w:val="Heading5"/>
    <w:uiPriority w:val="9"/>
    <w:rsid w:val="00A37453"/>
    <w:rPr>
      <w:rFonts w:asciiTheme="majorHAnsi" w:eastAsiaTheme="majorEastAsia" w:hAnsiTheme="majorHAnsi" w:cstheme="majorBidi"/>
      <w:color w:val="B43412" w:themeColor="accent1" w:themeShade="BF"/>
      <w:sz w:val="24"/>
    </w:rPr>
  </w:style>
  <w:style w:type="paragraph" w:styleId="IntenseQuote">
    <w:name w:val="Intense Quote"/>
    <w:basedOn w:val="Normal"/>
    <w:next w:val="Normal"/>
    <w:link w:val="IntenseQuoteChar"/>
    <w:uiPriority w:val="30"/>
    <w:qFormat/>
    <w:rsid w:val="00A37453"/>
    <w:pPr>
      <w:pBdr>
        <w:top w:val="single" w:sz="4" w:space="10" w:color="E84C22" w:themeColor="accent1"/>
        <w:bottom w:val="single" w:sz="4" w:space="10" w:color="E84C22" w:themeColor="accent1"/>
      </w:pBdr>
      <w:spacing w:before="360" w:after="360"/>
      <w:ind w:left="864" w:right="864"/>
      <w:jc w:val="center"/>
    </w:pPr>
    <w:rPr>
      <w:iCs/>
      <w:color w:val="505046" w:themeColor="text2"/>
      <w:sz w:val="26"/>
    </w:rPr>
  </w:style>
  <w:style w:type="character" w:customStyle="1" w:styleId="IntenseQuoteChar">
    <w:name w:val="Intense Quote Char"/>
    <w:basedOn w:val="DefaultParagraphFont"/>
    <w:link w:val="IntenseQuote"/>
    <w:uiPriority w:val="30"/>
    <w:rsid w:val="00A37453"/>
    <w:rPr>
      <w:rFonts w:ascii="Calibri Light" w:hAnsi="Calibri Light"/>
      <w:iCs/>
      <w:color w:val="505046" w:themeColor="text2"/>
      <w:sz w:val="26"/>
    </w:rPr>
  </w:style>
  <w:style w:type="paragraph" w:styleId="Title">
    <w:name w:val="Title"/>
    <w:basedOn w:val="Heading1"/>
    <w:next w:val="Normal"/>
    <w:link w:val="TitleChar"/>
    <w:uiPriority w:val="10"/>
    <w:qFormat/>
    <w:rsid w:val="000F1F2E"/>
  </w:style>
  <w:style w:type="character" w:customStyle="1" w:styleId="TitleChar">
    <w:name w:val="Title Char"/>
    <w:basedOn w:val="DefaultParagraphFont"/>
    <w:link w:val="Title"/>
    <w:uiPriority w:val="10"/>
    <w:rsid w:val="000F1F2E"/>
    <w:rPr>
      <w:rFonts w:ascii="Rockwell" w:eastAsiaTheme="majorEastAsia" w:hAnsi="Rockwell" w:cstheme="majorBidi"/>
      <w:color w:val="FFFFFF" w:themeColor="background1"/>
      <w:sz w:val="56"/>
      <w:szCs w:val="32"/>
    </w:rPr>
  </w:style>
  <w:style w:type="character" w:styleId="Strong">
    <w:name w:val="Strong"/>
    <w:basedOn w:val="DefaultParagraphFont"/>
    <w:uiPriority w:val="22"/>
    <w:qFormat/>
    <w:rsid w:val="00ED6FE7"/>
    <w:rPr>
      <w:b/>
      <w:bCs/>
    </w:rPr>
  </w:style>
  <w:style w:type="character" w:styleId="FollowedHyperlink">
    <w:name w:val="FollowedHyperlink"/>
    <w:basedOn w:val="DefaultParagraphFont"/>
    <w:uiPriority w:val="99"/>
    <w:semiHidden/>
    <w:unhideWhenUsed/>
    <w:rsid w:val="004F3EF8"/>
    <w:rPr>
      <w:color w:val="666699" w:themeColor="followedHyperlink"/>
      <w:u w:val="single"/>
    </w:rPr>
  </w:style>
  <w:style w:type="character" w:styleId="UnresolvedMention">
    <w:name w:val="Unresolved Mention"/>
    <w:basedOn w:val="DefaultParagraphFont"/>
    <w:uiPriority w:val="99"/>
    <w:semiHidden/>
    <w:unhideWhenUsed/>
    <w:rsid w:val="00C53DBA"/>
    <w:rPr>
      <w:color w:val="605E5C"/>
      <w:shd w:val="clear" w:color="auto" w:fill="E1DFDD"/>
    </w:rPr>
  </w:style>
  <w:style w:type="paragraph" w:styleId="Header">
    <w:name w:val="header"/>
    <w:basedOn w:val="Normal"/>
    <w:link w:val="HeaderChar"/>
    <w:uiPriority w:val="99"/>
    <w:unhideWhenUsed/>
    <w:rsid w:val="00B1627C"/>
    <w:pPr>
      <w:tabs>
        <w:tab w:val="center" w:pos="4513"/>
        <w:tab w:val="right" w:pos="9026"/>
      </w:tabs>
      <w:spacing w:before="0" w:after="0"/>
    </w:pPr>
  </w:style>
  <w:style w:type="character" w:customStyle="1" w:styleId="HeaderChar">
    <w:name w:val="Header Char"/>
    <w:basedOn w:val="DefaultParagraphFont"/>
    <w:link w:val="Header"/>
    <w:uiPriority w:val="99"/>
    <w:rsid w:val="00B1627C"/>
    <w:rPr>
      <w:rFonts w:ascii="Calibri Light" w:hAnsi="Calibri Light"/>
      <w:color w:val="262626" w:themeColor="text1" w:themeTint="D9"/>
      <w:sz w:val="24"/>
    </w:rPr>
  </w:style>
  <w:style w:type="paragraph" w:styleId="Footer">
    <w:name w:val="footer"/>
    <w:basedOn w:val="Normal"/>
    <w:link w:val="FooterChar"/>
    <w:uiPriority w:val="99"/>
    <w:unhideWhenUsed/>
    <w:rsid w:val="00B1627C"/>
    <w:pPr>
      <w:tabs>
        <w:tab w:val="center" w:pos="4513"/>
        <w:tab w:val="right" w:pos="9026"/>
      </w:tabs>
      <w:spacing w:before="0" w:after="0"/>
    </w:pPr>
  </w:style>
  <w:style w:type="character" w:customStyle="1" w:styleId="FooterChar">
    <w:name w:val="Footer Char"/>
    <w:basedOn w:val="DefaultParagraphFont"/>
    <w:link w:val="Footer"/>
    <w:uiPriority w:val="99"/>
    <w:rsid w:val="00B1627C"/>
    <w:rPr>
      <w:rFonts w:ascii="Calibri Light" w:hAnsi="Calibri Light"/>
      <w:color w:val="262626" w:themeColor="text1" w:themeTint="D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ontiersin.org/articles/10.3389/feduc.2018.00067/full" TargetMode="External"/><Relationship Id="rId3" Type="http://schemas.openxmlformats.org/officeDocument/2006/relationships/settings" Target="settings.xml"/><Relationship Id="rId7" Type="http://schemas.openxmlformats.org/officeDocument/2006/relationships/hyperlink" Target="https://www.lancaster.ac.uk/academic-standards-and-quality/information--resources/policies-and-guidelines/plagiarism-framewo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qaa.ac.uk/docs/qaa/quality-code/plagiarism-in-higher-education-2016.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EDA Guid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Simon</dc:creator>
  <cp:keywords/>
  <dc:description/>
  <cp:lastModifiedBy>Barber, Catherine</cp:lastModifiedBy>
  <cp:revision>18</cp:revision>
  <dcterms:created xsi:type="dcterms:W3CDTF">2019-09-13T11:49:00Z</dcterms:created>
  <dcterms:modified xsi:type="dcterms:W3CDTF">2024-02-14T17:11:00Z</dcterms:modified>
</cp:coreProperties>
</file>