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FAC6" w14:textId="05685652" w:rsidR="00C35EEC" w:rsidRPr="009262AD" w:rsidRDefault="00534115" w:rsidP="000A2354">
      <w:pPr>
        <w:pStyle w:val="Heading1"/>
      </w:pPr>
      <w:r w:rsidRPr="003826F2">
        <w:t xml:space="preserve">Research </w:t>
      </w:r>
      <w:r w:rsidR="00496D7C" w:rsidRPr="003826F2">
        <w:t>Integrity</w:t>
      </w:r>
      <w:r w:rsidRPr="003826F2">
        <w:t xml:space="preserve"> Report </w:t>
      </w:r>
      <w:r w:rsidR="003103E5">
        <w:t>20</w:t>
      </w:r>
      <w:r w:rsidR="00E664DE">
        <w:t>20</w:t>
      </w:r>
      <w:r w:rsidR="003103E5">
        <w:t>/2</w:t>
      </w:r>
      <w:r w:rsidR="00E664DE">
        <w:t>1</w:t>
      </w:r>
    </w:p>
    <w:p w14:paraId="2D843A19" w14:textId="5EE041A4" w:rsidR="009262AD" w:rsidRPr="00C35EEC" w:rsidRDefault="00390064" w:rsidP="009262AD">
      <w:pPr>
        <w:rPr>
          <w:color w:val="FF0000"/>
        </w:rPr>
      </w:pPr>
      <w:r>
        <w:t>Lancaster University has continue</w:t>
      </w:r>
      <w:r w:rsidR="00C35EEC">
        <w:t>d</w:t>
      </w:r>
      <w:r>
        <w:t xml:space="preserve"> to </w:t>
      </w:r>
      <w:r w:rsidR="00C35EEC">
        <w:t>uphold its culture of high research integrity in 20</w:t>
      </w:r>
      <w:r w:rsidR="00E664DE">
        <w:t>20</w:t>
      </w:r>
      <w:r w:rsidR="00C35EEC">
        <w:t>-2</w:t>
      </w:r>
      <w:r w:rsidR="00E664DE">
        <w:t>1</w:t>
      </w:r>
      <w:r w:rsidR="00F05B61">
        <w:t xml:space="preserve">.  </w:t>
      </w:r>
      <w:r w:rsidR="00BD0838">
        <w:t xml:space="preserve">Lancaster’s </w:t>
      </w:r>
      <w:r w:rsidR="00BD0838" w:rsidRPr="00BD0838">
        <w:t xml:space="preserve">Faculty Research </w:t>
      </w:r>
      <w:r w:rsidR="00BD0838" w:rsidRPr="009262AD">
        <w:t xml:space="preserve">Ethics Committees (FRECs) review </w:t>
      </w:r>
      <w:r w:rsidR="006D5AAC">
        <w:t xml:space="preserve">all </w:t>
      </w:r>
      <w:r w:rsidR="00BD0838" w:rsidRPr="009262AD">
        <w:t xml:space="preserve">ethical applications </w:t>
      </w:r>
      <w:r w:rsidR="006D5AAC">
        <w:t xml:space="preserve">within </w:t>
      </w:r>
      <w:r w:rsidR="007425AF">
        <w:t>7</w:t>
      </w:r>
      <w:r w:rsidR="00AD386B">
        <w:t>-8</w:t>
      </w:r>
      <w:r w:rsidR="007425AF">
        <w:t xml:space="preserve"> weeks</w:t>
      </w:r>
      <w:r w:rsidR="006D5AAC">
        <w:t xml:space="preserve">, and all applications are </w:t>
      </w:r>
      <w:r w:rsidR="00BD0838" w:rsidRPr="009262AD">
        <w:t>overseen by the University Research Ethics Committee (UREC).</w:t>
      </w:r>
      <w:r w:rsidR="009262AD" w:rsidRPr="009262AD">
        <w:t xml:space="preserve"> The total number of FREC applications </w:t>
      </w:r>
      <w:r w:rsidR="006D5AAC">
        <w:t xml:space="preserve">received in the period 2017-18 to 2020-21 </w:t>
      </w:r>
      <w:r w:rsidR="009262AD" w:rsidRPr="009262AD">
        <w:t xml:space="preserve">are shown in </w:t>
      </w:r>
      <w:r w:rsidR="005739ED">
        <w:t>T</w:t>
      </w:r>
      <w:r w:rsidR="009262AD" w:rsidRPr="009262AD">
        <w:t xml:space="preserve">able </w:t>
      </w:r>
      <w:proofErr w:type="gramStart"/>
      <w:r w:rsidR="005739ED">
        <w:t xml:space="preserve">1, </w:t>
      </w:r>
      <w:r w:rsidR="00E9226A">
        <w:t xml:space="preserve"> </w:t>
      </w:r>
      <w:r w:rsidR="008F6B75">
        <w:t>together</w:t>
      </w:r>
      <w:proofErr w:type="gramEnd"/>
      <w:r w:rsidR="008F6B75">
        <w:t xml:space="preserve"> </w:t>
      </w:r>
      <w:r w:rsidR="00E9226A">
        <w:t>with</w:t>
      </w:r>
      <w:r w:rsidR="0067698D" w:rsidRPr="009262AD">
        <w:t xml:space="preserve"> </w:t>
      </w:r>
      <w:r w:rsidR="009262AD" w:rsidRPr="009262AD">
        <w:t xml:space="preserve">those funded projects identified </w:t>
      </w:r>
      <w:r w:rsidR="009262AD" w:rsidRPr="00727A1E">
        <w:t>by the researcher</w:t>
      </w:r>
      <w:r w:rsidR="009262AD" w:rsidRPr="009262AD">
        <w:t xml:space="preserve"> as not needing ethical review via the research costing governance checklist.</w:t>
      </w:r>
    </w:p>
    <w:p w14:paraId="44B5A574" w14:textId="77777777" w:rsidR="00BD0838" w:rsidRDefault="00BD0838" w:rsidP="0039270D"/>
    <w:p w14:paraId="07991ADA" w14:textId="7A778D5C" w:rsidR="00BD0838" w:rsidRPr="000A2354" w:rsidRDefault="005739ED" w:rsidP="000A235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Table 1: </w:t>
      </w:r>
      <w:r w:rsidR="00BD0838" w:rsidRPr="000A2354">
        <w:rPr>
          <w:sz w:val="24"/>
          <w:szCs w:val="24"/>
        </w:rPr>
        <w:t xml:space="preserve">Submitted Research Ethics Applications </w:t>
      </w:r>
    </w:p>
    <w:tbl>
      <w:tblPr>
        <w:tblStyle w:val="GridTable4-Accent51"/>
        <w:tblW w:w="9413" w:type="dxa"/>
        <w:tblLook w:val="04A0" w:firstRow="1" w:lastRow="0" w:firstColumn="1" w:lastColumn="0" w:noHBand="0" w:noVBand="1"/>
        <w:tblCaption w:val="submitted research ethics applications 2018-19"/>
        <w:tblDescription w:val="the number of submitted research ethics applications in each faculty committee, in total and where a review was not needed for a funded project - all for the university year 2018-19"/>
      </w:tblPr>
      <w:tblGrid>
        <w:gridCol w:w="5573"/>
        <w:gridCol w:w="960"/>
        <w:gridCol w:w="960"/>
        <w:gridCol w:w="960"/>
        <w:gridCol w:w="960"/>
      </w:tblGrid>
      <w:tr w:rsidR="009F3BDF" w:rsidRPr="009C00DE" w14:paraId="4021AE04" w14:textId="0F3F50C3" w:rsidTr="009F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noWrap/>
            <w:hideMark/>
          </w:tcPr>
          <w:p w14:paraId="17A7CA28" w14:textId="77777777" w:rsidR="009F3BDF" w:rsidRPr="009C00DE" w:rsidRDefault="009F3BDF" w:rsidP="00EF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</w:tcPr>
          <w:p w14:paraId="1B031369" w14:textId="77777777" w:rsidR="009F3BDF" w:rsidRPr="009C00DE" w:rsidRDefault="009F3BDF" w:rsidP="00EF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0DE">
              <w:rPr>
                <w:rFonts w:ascii="Calibri" w:eastAsia="Times New Roman" w:hAnsi="Calibri" w:cs="Calibri"/>
                <w:color w:val="000000"/>
                <w:lang w:eastAsia="en-GB"/>
              </w:rPr>
              <w:t>2017-18</w:t>
            </w:r>
          </w:p>
        </w:tc>
        <w:tc>
          <w:tcPr>
            <w:tcW w:w="960" w:type="dxa"/>
          </w:tcPr>
          <w:p w14:paraId="600C636E" w14:textId="77777777" w:rsidR="009F3BDF" w:rsidRPr="009C00DE" w:rsidRDefault="009F3BDF" w:rsidP="00EF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0DE">
              <w:rPr>
                <w:rFonts w:ascii="Calibri" w:eastAsia="Times New Roman" w:hAnsi="Calibri" w:cs="Calibri"/>
                <w:color w:val="000000"/>
                <w:lang w:eastAsia="en-GB"/>
              </w:rPr>
              <w:t>2018-19</w:t>
            </w:r>
          </w:p>
        </w:tc>
        <w:tc>
          <w:tcPr>
            <w:tcW w:w="960" w:type="dxa"/>
            <w:noWrap/>
          </w:tcPr>
          <w:p w14:paraId="564F6D51" w14:textId="77777777" w:rsidR="009F3BDF" w:rsidRPr="009C00DE" w:rsidRDefault="009F3BDF" w:rsidP="00EF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2019-20</w:t>
            </w:r>
          </w:p>
        </w:tc>
        <w:tc>
          <w:tcPr>
            <w:tcW w:w="960" w:type="dxa"/>
          </w:tcPr>
          <w:p w14:paraId="0B0A0682" w14:textId="7D480F47" w:rsidR="009F3BDF" w:rsidRDefault="00554BDA" w:rsidP="00EF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2020-21</w:t>
            </w:r>
          </w:p>
        </w:tc>
      </w:tr>
      <w:tr w:rsidR="009F3BDF" w:rsidRPr="00D30722" w14:paraId="618E651B" w14:textId="1AA86F83" w:rsidTr="009F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noWrap/>
            <w:hideMark/>
          </w:tcPr>
          <w:p w14:paraId="4FDABBC7" w14:textId="0B7C3364" w:rsidR="009F3BDF" w:rsidRPr="009C00DE" w:rsidRDefault="009F3BDF" w:rsidP="00EF064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0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</w:t>
            </w:r>
            <w:r w:rsidR="008F6B7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FREC </w:t>
            </w:r>
            <w:r w:rsidRPr="009C00DE">
              <w:rPr>
                <w:rFonts w:ascii="Calibri" w:eastAsia="Times New Roman" w:hAnsi="Calibri" w:cs="Calibri"/>
                <w:color w:val="000000"/>
                <w:lang w:eastAsia="en-GB"/>
              </w:rPr>
              <w:t>reviewed</w:t>
            </w:r>
          </w:p>
        </w:tc>
        <w:tc>
          <w:tcPr>
            <w:tcW w:w="960" w:type="dxa"/>
          </w:tcPr>
          <w:p w14:paraId="1562A1BB" w14:textId="77777777" w:rsidR="009F3BDF" w:rsidRPr="009C00DE" w:rsidRDefault="009F3BDF" w:rsidP="00EF0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C00D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590</w:t>
            </w:r>
          </w:p>
        </w:tc>
        <w:tc>
          <w:tcPr>
            <w:tcW w:w="960" w:type="dxa"/>
          </w:tcPr>
          <w:p w14:paraId="03E32DA6" w14:textId="77777777" w:rsidR="009F3BDF" w:rsidRPr="009C00DE" w:rsidRDefault="009F3BDF" w:rsidP="00EF0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C00D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586</w:t>
            </w:r>
          </w:p>
        </w:tc>
        <w:tc>
          <w:tcPr>
            <w:tcW w:w="960" w:type="dxa"/>
            <w:noWrap/>
          </w:tcPr>
          <w:p w14:paraId="3D5ADAF3" w14:textId="7D9AC34F" w:rsidR="009F3BDF" w:rsidRPr="00B4686C" w:rsidRDefault="00E708AC" w:rsidP="00EF0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588</w:t>
            </w:r>
          </w:p>
        </w:tc>
        <w:tc>
          <w:tcPr>
            <w:tcW w:w="960" w:type="dxa"/>
          </w:tcPr>
          <w:p w14:paraId="4ACAB69A" w14:textId="51C0B65F" w:rsidR="009F3BDF" w:rsidRPr="00D30722" w:rsidRDefault="00E708AC" w:rsidP="00EF0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3072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551</w:t>
            </w:r>
          </w:p>
        </w:tc>
      </w:tr>
      <w:tr w:rsidR="009F3BDF" w:rsidRPr="009C00DE" w14:paraId="00B40305" w14:textId="5DCC0CC2" w:rsidTr="009F3B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noWrap/>
            <w:hideMark/>
          </w:tcPr>
          <w:p w14:paraId="2EC9ABEE" w14:textId="77777777" w:rsidR="009F3BDF" w:rsidRPr="009C00DE" w:rsidRDefault="009F3BDF" w:rsidP="00EF064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C00D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FREC review not needed</w:t>
            </w:r>
          </w:p>
        </w:tc>
        <w:tc>
          <w:tcPr>
            <w:tcW w:w="960" w:type="dxa"/>
          </w:tcPr>
          <w:p w14:paraId="09D58B40" w14:textId="77777777" w:rsidR="009F3BDF" w:rsidRPr="009C00DE" w:rsidRDefault="009F3BDF" w:rsidP="00EF06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0DE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960" w:type="dxa"/>
          </w:tcPr>
          <w:p w14:paraId="604BDC28" w14:textId="77777777" w:rsidR="009F3BDF" w:rsidRPr="009C00DE" w:rsidRDefault="009F3BDF" w:rsidP="00EF06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0DE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960" w:type="dxa"/>
            <w:noWrap/>
          </w:tcPr>
          <w:p w14:paraId="5949D66D" w14:textId="77777777" w:rsidR="009F3BDF" w:rsidRPr="009C00DE" w:rsidRDefault="009F3BDF" w:rsidP="00EF06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960" w:type="dxa"/>
          </w:tcPr>
          <w:p w14:paraId="78124E02" w14:textId="6FB89C26" w:rsidR="009F3BDF" w:rsidRDefault="00D30722" w:rsidP="00EF06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</w:tbl>
    <w:p w14:paraId="14E48E1E" w14:textId="77777777" w:rsidR="00C35EEC" w:rsidRDefault="00C35EEC" w:rsidP="0039270D"/>
    <w:p w14:paraId="1F2CCA53" w14:textId="5A1A2ED6" w:rsidR="00BD0838" w:rsidRDefault="00553F60" w:rsidP="0039270D">
      <w:r>
        <w:t>F</w:t>
      </w:r>
      <w:r w:rsidR="00C35EEC" w:rsidRPr="00BD0838">
        <w:t xml:space="preserve">ace-to-face research </w:t>
      </w:r>
      <w:r w:rsidR="00C45C30">
        <w:t xml:space="preserve">e.g. interviews, field-based research involving others or requiring access to sites, and laboratory-based research </w:t>
      </w:r>
      <w:r w:rsidR="0067698D">
        <w:t>was paused</w:t>
      </w:r>
      <w:r>
        <w:t xml:space="preserve"> in March 2020 due to Covid-19. In order to allow the continuation of research activities</w:t>
      </w:r>
      <w:r w:rsidR="00C45C30">
        <w:t xml:space="preserve"> where possible</w:t>
      </w:r>
      <w:r>
        <w:t>, a</w:t>
      </w:r>
      <w:r w:rsidR="0067698D">
        <w:t xml:space="preserve">mendments to adjust to virtual research protocols were </w:t>
      </w:r>
      <w:r w:rsidR="00BD0838">
        <w:t>fast track</w:t>
      </w:r>
      <w:r w:rsidR="0067698D">
        <w:t xml:space="preserve">ed by the FRECs. </w:t>
      </w:r>
      <w:r w:rsidR="009A5850">
        <w:t xml:space="preserve">Researchers were </w:t>
      </w:r>
      <w:r w:rsidR="00C45C30">
        <w:t>given permission</w:t>
      </w:r>
      <w:r w:rsidR="009A5850">
        <w:t xml:space="preserve"> to</w:t>
      </w:r>
      <w:r w:rsidR="0067698D">
        <w:t xml:space="preserve"> restart face-to-face activities</w:t>
      </w:r>
      <w:r w:rsidR="009A5850">
        <w:t xml:space="preserve"> from August 2020</w:t>
      </w:r>
      <w:r w:rsidR="0067698D">
        <w:t xml:space="preserve">, however only where necessary and </w:t>
      </w:r>
      <w:r w:rsidR="00C45C30">
        <w:t xml:space="preserve">activity was </w:t>
      </w:r>
      <w:r w:rsidR="0067698D">
        <w:t xml:space="preserve">regularly assessed against updated government advice. </w:t>
      </w:r>
      <w:r w:rsidR="009A5850">
        <w:t>Researchers</w:t>
      </w:r>
      <w:r w:rsidR="00867D19">
        <w:t xml:space="preserve"> </w:t>
      </w:r>
      <w:r w:rsidR="009A5850">
        <w:t xml:space="preserve">are also required to </w:t>
      </w:r>
      <w:r w:rsidR="00867D19">
        <w:t>ensure</w:t>
      </w:r>
      <w:r w:rsidR="00E9226A">
        <w:t xml:space="preserve"> the reassessment of</w:t>
      </w:r>
      <w:r w:rsidR="00867D19">
        <w:t xml:space="preserve"> </w:t>
      </w:r>
      <w:r w:rsidR="0067698D">
        <w:t>health and safety ri</w:t>
      </w:r>
      <w:r w:rsidR="00E9226A">
        <w:t xml:space="preserve">sks </w:t>
      </w:r>
      <w:r w:rsidR="0067698D">
        <w:t xml:space="preserve">prior to ethical review. All communications on process adjustments during this period </w:t>
      </w:r>
      <w:r w:rsidR="009C4CE0">
        <w:t>were</w:t>
      </w:r>
      <w:r w:rsidR="0067698D">
        <w:t xml:space="preserve"> publically available on our </w:t>
      </w:r>
      <w:hyperlink r:id="rId7" w:history="1">
        <w:r w:rsidR="0067698D" w:rsidRPr="0067698D">
          <w:rPr>
            <w:rStyle w:val="Hyperlink"/>
          </w:rPr>
          <w:t>webpages</w:t>
        </w:r>
      </w:hyperlink>
      <w:r w:rsidR="0067698D">
        <w:t xml:space="preserve"> and were communicated directly to researchers via their departments. </w:t>
      </w:r>
      <w:r w:rsidR="009A5850">
        <w:t>R</w:t>
      </w:r>
      <w:r w:rsidR="009262AD">
        <w:t xml:space="preserve">esearchers </w:t>
      </w:r>
      <w:r w:rsidR="00867D19">
        <w:t>c</w:t>
      </w:r>
      <w:r w:rsidR="00964CB7">
        <w:t>ould</w:t>
      </w:r>
      <w:r w:rsidR="00867D19">
        <w:t xml:space="preserve"> </w:t>
      </w:r>
      <w:r w:rsidR="009262AD">
        <w:t>have two protocols ethically approved, for both face-to-face and virtual research</w:t>
      </w:r>
      <w:r w:rsidR="009A5850">
        <w:t>,</w:t>
      </w:r>
      <w:r w:rsidR="009262AD">
        <w:t xml:space="preserve"> </w:t>
      </w:r>
      <w:r w:rsidR="00964CB7">
        <w:t>to enable them to</w:t>
      </w:r>
      <w:r w:rsidR="009262AD">
        <w:t xml:space="preserve"> adjust </w:t>
      </w:r>
      <w:r w:rsidR="009A5850">
        <w:t xml:space="preserve">their activities </w:t>
      </w:r>
      <w:r w:rsidR="009262AD">
        <w:t>appropriately during the pandemic</w:t>
      </w:r>
      <w:r w:rsidR="009A5850">
        <w:t xml:space="preserve"> to protect both researchers</w:t>
      </w:r>
      <w:r w:rsidR="003637DF">
        <w:t>, PhD supervisors</w:t>
      </w:r>
      <w:r w:rsidR="009A5850">
        <w:t xml:space="preserve"> and participants</w:t>
      </w:r>
      <w:r w:rsidR="009262AD">
        <w:t>.</w:t>
      </w:r>
    </w:p>
    <w:p w14:paraId="145AA4B0" w14:textId="77777777" w:rsidR="009262AD" w:rsidRDefault="009262AD" w:rsidP="0039270D"/>
    <w:p w14:paraId="3B1A7BD4" w14:textId="5103272B" w:rsidR="00390064" w:rsidRPr="00DB0DC3" w:rsidRDefault="00867D19" w:rsidP="0039270D">
      <w:pPr>
        <w:rPr>
          <w:color w:val="1F497D"/>
        </w:rPr>
      </w:pPr>
      <w:r>
        <w:t xml:space="preserve">UREC oversight work has </w:t>
      </w:r>
      <w:r w:rsidR="009262AD">
        <w:t>included</w:t>
      </w:r>
      <w:r w:rsidR="00E9226A">
        <w:t xml:space="preserve"> discussions on the</w:t>
      </w:r>
      <w:r w:rsidR="009262AD">
        <w:t xml:space="preserve"> review of archival and social media based research</w:t>
      </w:r>
      <w:r w:rsidR="00964CB7">
        <w:t xml:space="preserve">.  </w:t>
      </w:r>
      <w:hyperlink r:id="rId8" w:history="1">
        <w:r w:rsidR="00964CB7" w:rsidRPr="00964CB7">
          <w:rPr>
            <w:rStyle w:val="Hyperlink"/>
          </w:rPr>
          <w:t>Social Media Guidance for Researchers</w:t>
        </w:r>
      </w:hyperlink>
      <w:r w:rsidR="00964CB7">
        <w:t xml:space="preserve"> has now been created</w:t>
      </w:r>
      <w:r w:rsidR="00AD7860">
        <w:t xml:space="preserve"> and comm</w:t>
      </w:r>
      <w:r w:rsidR="00400F99">
        <w:t>uni</w:t>
      </w:r>
      <w:r w:rsidR="00D72E51">
        <w:t>ca</w:t>
      </w:r>
      <w:r w:rsidR="00400F99">
        <w:t xml:space="preserve">ted through our webpages and </w:t>
      </w:r>
      <w:r w:rsidR="008F6B75">
        <w:t xml:space="preserve">as </w:t>
      </w:r>
      <w:r w:rsidR="00400F99">
        <w:t>guidance</w:t>
      </w:r>
      <w:r w:rsidR="00D72E51">
        <w:t xml:space="preserve"> in the digital system for ethical review</w:t>
      </w:r>
      <w:r w:rsidR="00C53E50">
        <w:t>.  Implementation of a digital system for ethical review</w:t>
      </w:r>
      <w:r w:rsidR="00271862">
        <w:t xml:space="preserve"> </w:t>
      </w:r>
      <w:r w:rsidR="003637DF">
        <w:t>“</w:t>
      </w:r>
      <w:r w:rsidR="00271862">
        <w:t>Research Ethics Application Management System</w:t>
      </w:r>
      <w:r w:rsidR="003637DF">
        <w:t>”</w:t>
      </w:r>
      <w:r w:rsidR="00D72E51">
        <w:t xml:space="preserve"> (REAMS)</w:t>
      </w:r>
      <w:r w:rsidR="00C53E50">
        <w:t xml:space="preserve"> </w:t>
      </w:r>
      <w:r w:rsidR="008F6B75">
        <w:t xml:space="preserve">progressed over the last year </w:t>
      </w:r>
      <w:r w:rsidR="00C53E50">
        <w:t xml:space="preserve">and was launched in August 2021.  </w:t>
      </w:r>
      <w:bookmarkStart w:id="0" w:name="_Hlk85635842"/>
      <w:r>
        <w:t>Additional university</w:t>
      </w:r>
      <w:r w:rsidR="009262AD">
        <w:t xml:space="preserve"> plans to support and strengthen the understanding and application of research integrity issues </w:t>
      </w:r>
      <w:r>
        <w:t xml:space="preserve">in 2020-21 </w:t>
      </w:r>
      <w:r w:rsidR="009262AD">
        <w:t>includes</w:t>
      </w:r>
      <w:r w:rsidR="00C45C30">
        <w:t>:</w:t>
      </w:r>
      <w:r w:rsidR="009262AD">
        <w:t xml:space="preserve"> a review on integrity training across the institution </w:t>
      </w:r>
      <w:r w:rsidR="008E328A">
        <w:t>and the proposed expansion of UREC to be a University Research Ethics and Integrity Committee (UREIC) with expanded terms of reference and oversi</w:t>
      </w:r>
      <w:bookmarkStart w:id="1" w:name="_GoBack"/>
      <w:bookmarkEnd w:id="1"/>
      <w:r w:rsidR="008E328A">
        <w:t>ght of all research integrity issues</w:t>
      </w:r>
      <w:r w:rsidR="009262AD">
        <w:t>.</w:t>
      </w:r>
      <w:bookmarkEnd w:id="0"/>
    </w:p>
    <w:p w14:paraId="020D5487" w14:textId="77777777" w:rsidR="00C12E3B" w:rsidRDefault="00C12E3B" w:rsidP="003124E0"/>
    <w:p w14:paraId="505963C2" w14:textId="0CBEA69D" w:rsidR="005739ED" w:rsidRDefault="00553F60" w:rsidP="00553F60">
      <w:r w:rsidRPr="00553F60">
        <w:t xml:space="preserve">Lancaster University is committed to the highest standards of research integrity and takes any concerns raised about the conduct of research undertaken by any staff or </w:t>
      </w:r>
      <w:r w:rsidR="00F926B8">
        <w:t xml:space="preserve">research </w:t>
      </w:r>
      <w:r w:rsidRPr="00553F60">
        <w:t xml:space="preserve">students very seriously. In order to </w:t>
      </w:r>
      <w:r w:rsidR="00E9226A">
        <w:t>ensure that</w:t>
      </w:r>
      <w:r w:rsidRPr="00553F60">
        <w:t xml:space="preserve"> </w:t>
      </w:r>
      <w:r>
        <w:t>both internal</w:t>
      </w:r>
      <w:r w:rsidR="00524ED2">
        <w:t xml:space="preserve"> staff</w:t>
      </w:r>
      <w:r>
        <w:t xml:space="preserve"> </w:t>
      </w:r>
      <w:r w:rsidR="00524ED2">
        <w:t xml:space="preserve">and students </w:t>
      </w:r>
      <w:r>
        <w:t xml:space="preserve">and </w:t>
      </w:r>
      <w:r w:rsidR="00524ED2">
        <w:t xml:space="preserve">individuals </w:t>
      </w:r>
      <w:r>
        <w:t>external</w:t>
      </w:r>
      <w:r w:rsidR="00524ED2">
        <w:t xml:space="preserve"> to the University</w:t>
      </w:r>
      <w:r>
        <w:t xml:space="preserve"> feel </w:t>
      </w:r>
      <w:r w:rsidR="00F926B8">
        <w:t>able</w:t>
      </w:r>
      <w:r>
        <w:t xml:space="preserve"> to report suspected instances of </w:t>
      </w:r>
      <w:r w:rsidR="00F926B8">
        <w:t xml:space="preserve">research </w:t>
      </w:r>
      <w:r>
        <w:t xml:space="preserve">misconduct we ensure that </w:t>
      </w:r>
      <w:r w:rsidR="009A5850">
        <w:t xml:space="preserve">all </w:t>
      </w:r>
      <w:r>
        <w:t xml:space="preserve">our research webpages are </w:t>
      </w:r>
      <w:proofErr w:type="spellStart"/>
      <w:r>
        <w:t>publically</w:t>
      </w:r>
      <w:proofErr w:type="spellEnd"/>
      <w:r>
        <w:t xml:space="preserve"> available </w:t>
      </w:r>
      <w:r w:rsidR="00E9226A">
        <w:t>to encourage an open environment</w:t>
      </w:r>
      <w:r w:rsidR="00AB20BB">
        <w:t>,</w:t>
      </w:r>
      <w:r w:rsidR="009A5850">
        <w:t xml:space="preserve"> </w:t>
      </w:r>
      <w:r w:rsidR="00E9226A">
        <w:t xml:space="preserve">this </w:t>
      </w:r>
      <w:r w:rsidR="009A5850">
        <w:t>includ</w:t>
      </w:r>
      <w:r w:rsidR="00E9226A">
        <w:t>es</w:t>
      </w:r>
      <w:r w:rsidR="009A5850">
        <w:t xml:space="preserve"> information about </w:t>
      </w:r>
      <w:r w:rsidR="00E9226A">
        <w:t>our</w:t>
      </w:r>
      <w:r w:rsidR="009A5850">
        <w:t xml:space="preserve"> </w:t>
      </w:r>
      <w:r w:rsidR="00C53E50">
        <w:t xml:space="preserve">research </w:t>
      </w:r>
      <w:r w:rsidR="009A5850">
        <w:t>misconduct procedure</w:t>
      </w:r>
      <w:r w:rsidR="00F926B8">
        <w:t>,</w:t>
      </w:r>
      <w:r w:rsidR="00C53E50">
        <w:t xml:space="preserve"> which was updated in 2021 in line with </w:t>
      </w:r>
      <w:r w:rsidR="00556946">
        <w:t xml:space="preserve">the </w:t>
      </w:r>
      <w:hyperlink r:id="rId9" w:history="1">
        <w:r w:rsidR="00556946" w:rsidRPr="00556946">
          <w:rPr>
            <w:rStyle w:val="Hyperlink"/>
          </w:rPr>
          <w:t>procedure published by the UK Research Integrity Office</w:t>
        </w:r>
      </w:hyperlink>
      <w:r w:rsidR="009A5850">
        <w:t>.</w:t>
      </w:r>
      <w:r w:rsidR="00556946">
        <w:t xml:space="preserve">  The </w:t>
      </w:r>
      <w:hyperlink r:id="rId10" w:history="1">
        <w:r w:rsidR="008F6B75">
          <w:rPr>
            <w:rStyle w:val="Hyperlink"/>
          </w:rPr>
          <w:t>Pro</w:t>
        </w:r>
        <w:r w:rsidR="000A2354">
          <w:rPr>
            <w:rStyle w:val="Hyperlink"/>
          </w:rPr>
          <w:t>ced</w:t>
        </w:r>
        <w:r w:rsidR="008F6B75">
          <w:rPr>
            <w:rStyle w:val="Hyperlink"/>
          </w:rPr>
          <w:t>ure for the Investigation of Misconduct in Research</w:t>
        </w:r>
      </w:hyperlink>
      <w:r w:rsidR="00556946">
        <w:t xml:space="preserve"> provides a transparent, timely, robust and fair process for dealing with allegations of misconduct. </w:t>
      </w:r>
    </w:p>
    <w:p w14:paraId="220EFE35" w14:textId="77777777" w:rsidR="005739ED" w:rsidRDefault="005739ED" w:rsidP="00553F60"/>
    <w:p w14:paraId="1E8A424E" w14:textId="6715CABE" w:rsidR="00553F60" w:rsidRDefault="00B32C19" w:rsidP="00553F60">
      <w:r>
        <w:t>T</w:t>
      </w:r>
      <w:r w:rsidR="009A5850">
        <w:t>raining is offered to all new research staff</w:t>
      </w:r>
      <w:r w:rsidR="00AB20BB">
        <w:t xml:space="preserve"> at Lancaster</w:t>
      </w:r>
      <w:r w:rsidR="009A5850">
        <w:t xml:space="preserve"> which covers a range of topics including</w:t>
      </w:r>
      <w:r w:rsidR="00524ED2">
        <w:t xml:space="preserve"> research</w:t>
      </w:r>
      <w:r w:rsidR="009A5850">
        <w:t xml:space="preserve"> integrity, and specific online </w:t>
      </w:r>
      <w:r w:rsidR="00014822">
        <w:t xml:space="preserve">research </w:t>
      </w:r>
      <w:r w:rsidR="009A5850">
        <w:t xml:space="preserve">integrity training is available to all staff and students via our webpages.   </w:t>
      </w:r>
      <w:r w:rsidR="00553F60">
        <w:t xml:space="preserve"> </w:t>
      </w:r>
      <w:r w:rsidR="00553F60" w:rsidRPr="00553F60">
        <w:t xml:space="preserve"> </w:t>
      </w:r>
    </w:p>
    <w:p w14:paraId="078AD132" w14:textId="77777777" w:rsidR="00553F60" w:rsidRPr="00BD0838" w:rsidRDefault="00553F60" w:rsidP="00553F60"/>
    <w:p w14:paraId="1D6DE494" w14:textId="4A0FD9A7" w:rsidR="00867D19" w:rsidRDefault="004425AF" w:rsidP="003448AE">
      <w:r>
        <w:t>Three</w:t>
      </w:r>
      <w:r w:rsidR="00C35EEC">
        <w:t xml:space="preserve"> </w:t>
      </w:r>
      <w:r w:rsidR="003448AE" w:rsidRPr="001A3908">
        <w:t xml:space="preserve">research misconduct </w:t>
      </w:r>
      <w:r w:rsidR="006C4FC3" w:rsidRPr="001A3908">
        <w:t>complaint</w:t>
      </w:r>
      <w:r w:rsidR="005841CC" w:rsidRPr="001A3908">
        <w:t>s</w:t>
      </w:r>
      <w:r w:rsidR="006C4FC3" w:rsidRPr="001A3908">
        <w:t xml:space="preserve"> </w:t>
      </w:r>
      <w:r w:rsidR="005841CC" w:rsidRPr="001A3908">
        <w:t>were</w:t>
      </w:r>
      <w:r w:rsidR="00FB315E" w:rsidRPr="001A3908">
        <w:t xml:space="preserve"> raised in </w:t>
      </w:r>
      <w:r w:rsidR="00C35EEC">
        <w:t>20</w:t>
      </w:r>
      <w:r>
        <w:t>20</w:t>
      </w:r>
      <w:r w:rsidR="00C35EEC">
        <w:t>-2</w:t>
      </w:r>
      <w:r>
        <w:t>1</w:t>
      </w:r>
      <w:r w:rsidR="005739ED">
        <w:t xml:space="preserve"> (Table 2)</w:t>
      </w:r>
      <w:r w:rsidR="005841CC" w:rsidRPr="001A3908">
        <w:t xml:space="preserve">. </w:t>
      </w:r>
      <w:r w:rsidR="00C35EEC">
        <w:t>The first</w:t>
      </w:r>
      <w:r>
        <w:t xml:space="preserve"> </w:t>
      </w:r>
      <w:r w:rsidR="001D057F">
        <w:t xml:space="preserve">incident </w:t>
      </w:r>
      <w:r>
        <w:t>was externally invest</w:t>
      </w:r>
      <w:r w:rsidR="001D057F">
        <w:t>igat</w:t>
      </w:r>
      <w:r>
        <w:t xml:space="preserve">ed by the Home Office </w:t>
      </w:r>
      <w:r w:rsidR="00524ED2">
        <w:t>Animal in Science Regulation Unit (</w:t>
      </w:r>
      <w:r>
        <w:t>ASRU</w:t>
      </w:r>
      <w:r w:rsidR="00524ED2">
        <w:t>)</w:t>
      </w:r>
      <w:r w:rsidR="001D057F">
        <w:t xml:space="preserve"> and concluded with a letter </w:t>
      </w:r>
      <w:r w:rsidR="00E67AB7">
        <w:t xml:space="preserve">directed to the researcher involved </w:t>
      </w:r>
      <w:r w:rsidR="001D057F">
        <w:t xml:space="preserve">but </w:t>
      </w:r>
      <w:r w:rsidR="00E67AB7">
        <w:t xml:space="preserve">required </w:t>
      </w:r>
      <w:r w:rsidR="001D057F">
        <w:t xml:space="preserve">no further action. </w:t>
      </w:r>
      <w:r>
        <w:t xml:space="preserve"> </w:t>
      </w:r>
      <w:r w:rsidR="00E67AB7">
        <w:t xml:space="preserve">As a result of the incident, an </w:t>
      </w:r>
      <w:r w:rsidR="001D057F">
        <w:rPr>
          <w:rFonts w:ascii="Calibri" w:hAnsi="Calibri" w:cs="Calibri"/>
        </w:rPr>
        <w:t>internal investigation</w:t>
      </w:r>
      <w:r w:rsidR="00E67AB7">
        <w:rPr>
          <w:rFonts w:ascii="Calibri" w:hAnsi="Calibri" w:cs="Calibri"/>
        </w:rPr>
        <w:t xml:space="preserve"> was conducted to evaluate the procedures in place and this evaluation resulted in a revised procedure </w:t>
      </w:r>
      <w:r w:rsidR="001D057F">
        <w:rPr>
          <w:rFonts w:ascii="Calibri" w:hAnsi="Calibri" w:cs="Calibri"/>
        </w:rPr>
        <w:t xml:space="preserve">to ensure no future incidents of a similar nature could occur. </w:t>
      </w:r>
      <w:r w:rsidR="001D057F">
        <w:t xml:space="preserve"> </w:t>
      </w:r>
      <w:proofErr w:type="gramStart"/>
      <w:r w:rsidR="001D057F">
        <w:t xml:space="preserve">A </w:t>
      </w:r>
      <w:r>
        <w:t xml:space="preserve"> second</w:t>
      </w:r>
      <w:proofErr w:type="gramEnd"/>
      <w:r>
        <w:t xml:space="preserve"> </w:t>
      </w:r>
      <w:r w:rsidR="005739ED">
        <w:t>case</w:t>
      </w:r>
      <w:r w:rsidR="00E67AB7">
        <w:t xml:space="preserve"> of research </w:t>
      </w:r>
      <w:r w:rsidR="00E67AB7">
        <w:lastRenderedPageBreak/>
        <w:t>misconduct</w:t>
      </w:r>
      <w:r w:rsidR="005739ED">
        <w:t xml:space="preserve"> </w:t>
      </w:r>
      <w:r>
        <w:t>is currently in progress</w:t>
      </w:r>
      <w:r w:rsidR="00E67AB7">
        <w:t>,</w:t>
      </w:r>
      <w:r>
        <w:t xml:space="preserve"> and </w:t>
      </w:r>
      <w:r w:rsidR="005739ED">
        <w:t>a</w:t>
      </w:r>
      <w:r>
        <w:t xml:space="preserve"> third</w:t>
      </w:r>
      <w:r w:rsidR="00C35EEC">
        <w:t xml:space="preserve"> </w:t>
      </w:r>
      <w:r w:rsidR="00E67AB7">
        <w:t xml:space="preserve">case </w:t>
      </w:r>
      <w:r w:rsidR="00C35EEC">
        <w:t xml:space="preserve">was </w:t>
      </w:r>
      <w:r>
        <w:t>deemed not to be research misconduct</w:t>
      </w:r>
      <w:r w:rsidR="005739ED">
        <w:t xml:space="preserve"> according to our Proc</w:t>
      </w:r>
      <w:r w:rsidR="000A2354">
        <w:t>e</w:t>
      </w:r>
      <w:r w:rsidR="005739ED">
        <w:t>dures</w:t>
      </w:r>
      <w:r>
        <w:t xml:space="preserve">.  </w:t>
      </w:r>
    </w:p>
    <w:p w14:paraId="29C153A1" w14:textId="5776E8D9" w:rsidR="00AC776E" w:rsidRDefault="00AC776E" w:rsidP="003448AE"/>
    <w:p w14:paraId="07CFB25D" w14:textId="0858D7E6" w:rsidR="005739ED" w:rsidRDefault="005739ED" w:rsidP="000A2354">
      <w:pPr>
        <w:pStyle w:val="Heading2"/>
        <w:rPr>
          <w:sz w:val="24"/>
          <w:szCs w:val="24"/>
        </w:rPr>
      </w:pPr>
      <w:r w:rsidRPr="000A2354">
        <w:rPr>
          <w:sz w:val="24"/>
          <w:szCs w:val="24"/>
        </w:rPr>
        <w:t>Table 2: Record of Research Misconduct Complaints</w:t>
      </w:r>
    </w:p>
    <w:p w14:paraId="535F46EE" w14:textId="77777777" w:rsidR="005739ED" w:rsidRPr="005739ED" w:rsidRDefault="005739ED"/>
    <w:tbl>
      <w:tblPr>
        <w:tblStyle w:val="GridTable4-Accent51"/>
        <w:tblW w:w="7366" w:type="dxa"/>
        <w:tblLook w:val="04A0" w:firstRow="1" w:lastRow="0" w:firstColumn="1" w:lastColumn="0" w:noHBand="0" w:noVBand="1"/>
        <w:tblCaption w:val="research misconduct summary table"/>
        <w:tblDescription w:val="The number of research misconduct complaints raised, formal investigations completed and allegations that were upheld. By academic year."/>
      </w:tblPr>
      <w:tblGrid>
        <w:gridCol w:w="1676"/>
        <w:gridCol w:w="1296"/>
        <w:gridCol w:w="2268"/>
        <w:gridCol w:w="2126"/>
      </w:tblGrid>
      <w:tr w:rsidR="00CB6F2C" w14:paraId="1413503C" w14:textId="77777777" w:rsidTr="00877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8B21BDB" w14:textId="77777777" w:rsidR="00CB6F2C" w:rsidRDefault="00CB6F2C" w:rsidP="003448AE">
            <w:r>
              <w:t>Academic Year</w:t>
            </w:r>
          </w:p>
        </w:tc>
        <w:tc>
          <w:tcPr>
            <w:tcW w:w="1296" w:type="dxa"/>
          </w:tcPr>
          <w:p w14:paraId="63E38EA0" w14:textId="77777777" w:rsidR="00CB6F2C" w:rsidRDefault="00CB6F2C" w:rsidP="00344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Complaint Raised</w:t>
            </w:r>
          </w:p>
        </w:tc>
        <w:tc>
          <w:tcPr>
            <w:tcW w:w="2268" w:type="dxa"/>
          </w:tcPr>
          <w:p w14:paraId="2BE389E3" w14:textId="77777777" w:rsidR="00CB6F2C" w:rsidRDefault="00CB6F2C" w:rsidP="00344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Formal Investigation Completed</w:t>
            </w:r>
          </w:p>
        </w:tc>
        <w:tc>
          <w:tcPr>
            <w:tcW w:w="2126" w:type="dxa"/>
          </w:tcPr>
          <w:p w14:paraId="532D834F" w14:textId="77777777" w:rsidR="00CB6F2C" w:rsidRPr="00A07937" w:rsidRDefault="00CB6F2C" w:rsidP="00344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Allegations Upheld </w:t>
            </w:r>
            <w:r>
              <w:rPr>
                <w:b w:val="0"/>
              </w:rPr>
              <w:t>(whole or in part)</w:t>
            </w:r>
          </w:p>
        </w:tc>
      </w:tr>
      <w:tr w:rsidR="00FA6544" w14:paraId="13E0D8EA" w14:textId="77777777" w:rsidTr="004A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3F9BBCE" w14:textId="77777777" w:rsidR="00FA6544" w:rsidRDefault="00FA6544" w:rsidP="00AC776E">
            <w:r>
              <w:t>2017-18</w:t>
            </w:r>
          </w:p>
        </w:tc>
        <w:tc>
          <w:tcPr>
            <w:tcW w:w="1296" w:type="dxa"/>
          </w:tcPr>
          <w:p w14:paraId="5EA6958A" w14:textId="77777777" w:rsidR="00FA6544" w:rsidRDefault="00FA6544" w:rsidP="00AC7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68" w:type="dxa"/>
          </w:tcPr>
          <w:p w14:paraId="37C3C8D1" w14:textId="77777777" w:rsidR="00FA6544" w:rsidRDefault="00FA6544" w:rsidP="00AC7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26" w:type="dxa"/>
          </w:tcPr>
          <w:p w14:paraId="6CFBD32A" w14:textId="77777777" w:rsidR="00FA6544" w:rsidRDefault="00FA6544" w:rsidP="00AC7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A6544" w14:paraId="55E9A3E3" w14:textId="77777777" w:rsidTr="004A3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33EE36CA" w14:textId="77777777" w:rsidR="00FA6544" w:rsidRDefault="00FA6544" w:rsidP="00AC776E">
            <w:r>
              <w:t>2018-19</w:t>
            </w:r>
          </w:p>
        </w:tc>
        <w:tc>
          <w:tcPr>
            <w:tcW w:w="1296" w:type="dxa"/>
          </w:tcPr>
          <w:p w14:paraId="54B8BC8C" w14:textId="77777777" w:rsidR="00FA6544" w:rsidRDefault="00FA6544" w:rsidP="00AC7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68" w:type="dxa"/>
          </w:tcPr>
          <w:p w14:paraId="4E26268B" w14:textId="77777777" w:rsidR="00FA6544" w:rsidRDefault="00FA6544" w:rsidP="00AC7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26" w:type="dxa"/>
          </w:tcPr>
          <w:p w14:paraId="28A17A9D" w14:textId="77777777" w:rsidR="00FA6544" w:rsidRDefault="00FA6544" w:rsidP="00AC7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35EEC" w14:paraId="58B53E85" w14:textId="77777777" w:rsidTr="004A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F4126E9" w14:textId="77777777" w:rsidR="00C35EEC" w:rsidRDefault="00C35EEC" w:rsidP="00AC776E">
            <w:r>
              <w:t>2019-20</w:t>
            </w:r>
          </w:p>
        </w:tc>
        <w:tc>
          <w:tcPr>
            <w:tcW w:w="1296" w:type="dxa"/>
          </w:tcPr>
          <w:p w14:paraId="017EA49F" w14:textId="77777777" w:rsidR="00C35EEC" w:rsidRDefault="00C35EEC" w:rsidP="00AC7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68" w:type="dxa"/>
          </w:tcPr>
          <w:p w14:paraId="727E117E" w14:textId="00DC1191" w:rsidR="00C35EEC" w:rsidRDefault="00C35EEC" w:rsidP="00AC7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26" w:type="dxa"/>
          </w:tcPr>
          <w:p w14:paraId="697215A5" w14:textId="77777777" w:rsidR="00C35EEC" w:rsidRDefault="00C35EEC" w:rsidP="00AC7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425AF" w14:paraId="426AFCFD" w14:textId="77777777" w:rsidTr="004A3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5741733C" w14:textId="40126DB3" w:rsidR="004425AF" w:rsidRDefault="004425AF" w:rsidP="00AC776E">
            <w:r>
              <w:t>2020-21</w:t>
            </w:r>
          </w:p>
        </w:tc>
        <w:tc>
          <w:tcPr>
            <w:tcW w:w="1296" w:type="dxa"/>
          </w:tcPr>
          <w:p w14:paraId="04EE9EB7" w14:textId="1E073B61" w:rsidR="004425AF" w:rsidRDefault="004425AF" w:rsidP="00AC7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68" w:type="dxa"/>
          </w:tcPr>
          <w:p w14:paraId="514B84C2" w14:textId="40E0F27F" w:rsidR="004425AF" w:rsidRDefault="004425AF" w:rsidP="00AC7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26" w:type="dxa"/>
          </w:tcPr>
          <w:p w14:paraId="5930DBBE" w14:textId="21E0E58C" w:rsidR="004425AF" w:rsidRDefault="004425AF" w:rsidP="00AC7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3F01ECA4" w14:textId="77777777" w:rsidR="00553F60" w:rsidRPr="00BD0838" w:rsidRDefault="00553F60" w:rsidP="00F22B76"/>
    <w:sectPr w:rsidR="00553F60" w:rsidRPr="00BD0838" w:rsidSect="00F22B76">
      <w:headerReference w:type="default" r:id="rId11"/>
      <w:pgSz w:w="11906" w:h="16838"/>
      <w:pgMar w:top="1247" w:right="1134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BFE4" w16cex:dateUtc="2021-10-18T08:41:00Z"/>
  <w16cex:commentExtensible w16cex:durableId="2517C0CF" w16cex:dateUtc="2021-10-18T08:45:00Z"/>
  <w16cex:commentExtensible w16cex:durableId="2517C192" w16cex:dateUtc="2021-10-18T08:49:00Z"/>
  <w16cex:commentExtensible w16cex:durableId="2517C1DA" w16cex:dateUtc="2021-10-18T08:50:00Z"/>
  <w16cex:commentExtensible w16cex:durableId="2517C215" w16cex:dateUtc="2021-10-18T08:51:00Z"/>
  <w16cex:commentExtensible w16cex:durableId="2517C25C" w16cex:dateUtc="2021-10-18T08:52:00Z"/>
  <w16cex:commentExtensible w16cex:durableId="2517C27D" w16cex:dateUtc="2021-10-18T08:53:00Z"/>
  <w16cex:commentExtensible w16cex:durableId="24D0AF46" w16cex:dateUtc="2020-09-30T16:14:00Z"/>
  <w16cex:commentExtensible w16cex:durableId="2517C2B6" w16cex:dateUtc="2021-10-18T08:53:00Z"/>
  <w16cex:commentExtensible w16cex:durableId="25142F1D" w16cex:dateUtc="2021-10-15T15:47:00Z"/>
  <w16cex:commentExtensible w16cex:durableId="2517C301" w16cex:dateUtc="2021-10-18T08:55:00Z"/>
  <w16cex:commentExtensible w16cex:durableId="2517C30F" w16cex:dateUtc="2021-10-18T08:55:00Z"/>
  <w16cex:commentExtensible w16cex:durableId="24D0AF47" w16cex:dateUtc="2020-10-01T07:29:00Z"/>
  <w16cex:commentExtensible w16cex:durableId="2517C4F8" w16cex:dateUtc="2021-10-18T09:03:00Z"/>
  <w16cex:commentExtensible w16cex:durableId="2517C54A" w16cex:dateUtc="2021-10-18T09:04:00Z"/>
  <w16cex:commentExtensible w16cex:durableId="2513D602" w16cex:dateUtc="2021-10-15T09:27:00Z"/>
  <w16cex:commentExtensible w16cex:durableId="24D0AF4A" w16cex:dateUtc="2020-09-29T13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CBCB" w14:textId="77777777" w:rsidR="00D96C42" w:rsidRDefault="00D96C42" w:rsidP="00AC776E">
      <w:r>
        <w:separator/>
      </w:r>
    </w:p>
  </w:endnote>
  <w:endnote w:type="continuationSeparator" w:id="0">
    <w:p w14:paraId="1DDF7BB6" w14:textId="77777777" w:rsidR="00D96C42" w:rsidRDefault="00D96C42" w:rsidP="00AC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6A37" w14:textId="77777777" w:rsidR="00D96C42" w:rsidRDefault="00D96C42" w:rsidP="00AC776E">
      <w:r>
        <w:separator/>
      </w:r>
    </w:p>
  </w:footnote>
  <w:footnote w:type="continuationSeparator" w:id="0">
    <w:p w14:paraId="1E26544A" w14:textId="77777777" w:rsidR="00D96C42" w:rsidRDefault="00D96C42" w:rsidP="00AC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4C16" w14:textId="77777777" w:rsidR="00AC776E" w:rsidRDefault="00AC776E" w:rsidP="008773EE">
    <w:pPr>
      <w:pStyle w:val="Header"/>
      <w:tabs>
        <w:tab w:val="left" w:pos="6663"/>
      </w:tabs>
      <w:jc w:val="right"/>
    </w:pPr>
    <w:r>
      <w:rPr>
        <w:noProof/>
        <w:lang w:eastAsia="en-GB"/>
      </w:rPr>
      <w:drawing>
        <wp:inline distT="0" distB="0" distL="0" distR="0" wp14:anchorId="67FF7746" wp14:editId="4E8FB3E9">
          <wp:extent cx="1740535" cy="547268"/>
          <wp:effectExtent l="0" t="0" r="0" b="5715"/>
          <wp:docPr id="13" name="Picture 13" descr="Lancaster University Logo" title="Lancast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 - Logo - Positive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547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236"/>
    <w:multiLevelType w:val="hybridMultilevel"/>
    <w:tmpl w:val="F5545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A6524"/>
    <w:multiLevelType w:val="hybridMultilevel"/>
    <w:tmpl w:val="0C8841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234"/>
    <w:multiLevelType w:val="hybridMultilevel"/>
    <w:tmpl w:val="B19E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24AFE"/>
    <w:multiLevelType w:val="hybridMultilevel"/>
    <w:tmpl w:val="72989EC4"/>
    <w:lvl w:ilvl="0" w:tplc="B0067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15"/>
    <w:rsid w:val="00013626"/>
    <w:rsid w:val="00014822"/>
    <w:rsid w:val="000400AB"/>
    <w:rsid w:val="000A2354"/>
    <w:rsid w:val="000E709D"/>
    <w:rsid w:val="000F4AB7"/>
    <w:rsid w:val="001136B2"/>
    <w:rsid w:val="00146F61"/>
    <w:rsid w:val="0016136E"/>
    <w:rsid w:val="00195CBF"/>
    <w:rsid w:val="001A3908"/>
    <w:rsid w:val="001B3F99"/>
    <w:rsid w:val="001C4673"/>
    <w:rsid w:val="001D057F"/>
    <w:rsid w:val="001D1BCB"/>
    <w:rsid w:val="00255813"/>
    <w:rsid w:val="00271862"/>
    <w:rsid w:val="00274C61"/>
    <w:rsid w:val="00284A0B"/>
    <w:rsid w:val="0028701F"/>
    <w:rsid w:val="002C4137"/>
    <w:rsid w:val="002E5572"/>
    <w:rsid w:val="002F5C22"/>
    <w:rsid w:val="003028FB"/>
    <w:rsid w:val="003103E5"/>
    <w:rsid w:val="003124E0"/>
    <w:rsid w:val="003448AE"/>
    <w:rsid w:val="00361187"/>
    <w:rsid w:val="003637DF"/>
    <w:rsid w:val="003826F2"/>
    <w:rsid w:val="00390064"/>
    <w:rsid w:val="0039270D"/>
    <w:rsid w:val="0039292F"/>
    <w:rsid w:val="00395747"/>
    <w:rsid w:val="003C2E1E"/>
    <w:rsid w:val="003E73BB"/>
    <w:rsid w:val="00400F99"/>
    <w:rsid w:val="00431AE8"/>
    <w:rsid w:val="00441715"/>
    <w:rsid w:val="004425AF"/>
    <w:rsid w:val="00496D7C"/>
    <w:rsid w:val="004A32FE"/>
    <w:rsid w:val="004E333D"/>
    <w:rsid w:val="00516FAF"/>
    <w:rsid w:val="00524ED2"/>
    <w:rsid w:val="00534115"/>
    <w:rsid w:val="00534406"/>
    <w:rsid w:val="00553F60"/>
    <w:rsid w:val="00554BDA"/>
    <w:rsid w:val="00556946"/>
    <w:rsid w:val="005739ED"/>
    <w:rsid w:val="005841CC"/>
    <w:rsid w:val="005A69BC"/>
    <w:rsid w:val="005B6406"/>
    <w:rsid w:val="006268B2"/>
    <w:rsid w:val="0067557B"/>
    <w:rsid w:val="0067698D"/>
    <w:rsid w:val="006B5E68"/>
    <w:rsid w:val="006C3CCC"/>
    <w:rsid w:val="006C4FC3"/>
    <w:rsid w:val="006C64DE"/>
    <w:rsid w:val="006D5AAC"/>
    <w:rsid w:val="006D722E"/>
    <w:rsid w:val="00727A1E"/>
    <w:rsid w:val="007425AF"/>
    <w:rsid w:val="007571FC"/>
    <w:rsid w:val="007663AD"/>
    <w:rsid w:val="00772149"/>
    <w:rsid w:val="007A744B"/>
    <w:rsid w:val="007B4F49"/>
    <w:rsid w:val="007F57A8"/>
    <w:rsid w:val="00804A33"/>
    <w:rsid w:val="00837731"/>
    <w:rsid w:val="00867D19"/>
    <w:rsid w:val="00876509"/>
    <w:rsid w:val="008773EE"/>
    <w:rsid w:val="008E328A"/>
    <w:rsid w:val="008F6B75"/>
    <w:rsid w:val="00920738"/>
    <w:rsid w:val="009262AD"/>
    <w:rsid w:val="00964CB7"/>
    <w:rsid w:val="00975A6A"/>
    <w:rsid w:val="009976DF"/>
    <w:rsid w:val="009A2D10"/>
    <w:rsid w:val="009A5850"/>
    <w:rsid w:val="009C00DE"/>
    <w:rsid w:val="009C0132"/>
    <w:rsid w:val="009C4CE0"/>
    <w:rsid w:val="009F3BDF"/>
    <w:rsid w:val="00A07937"/>
    <w:rsid w:val="00A2591E"/>
    <w:rsid w:val="00A44D02"/>
    <w:rsid w:val="00A87C30"/>
    <w:rsid w:val="00AB20BB"/>
    <w:rsid w:val="00AC6DF5"/>
    <w:rsid w:val="00AC776E"/>
    <w:rsid w:val="00AD386B"/>
    <w:rsid w:val="00AD7860"/>
    <w:rsid w:val="00B23AD8"/>
    <w:rsid w:val="00B32C19"/>
    <w:rsid w:val="00B4686C"/>
    <w:rsid w:val="00B825DE"/>
    <w:rsid w:val="00BC458C"/>
    <w:rsid w:val="00BD0838"/>
    <w:rsid w:val="00BD3F8D"/>
    <w:rsid w:val="00BE0260"/>
    <w:rsid w:val="00C12E3B"/>
    <w:rsid w:val="00C15409"/>
    <w:rsid w:val="00C35EEC"/>
    <w:rsid w:val="00C45C30"/>
    <w:rsid w:val="00C53E50"/>
    <w:rsid w:val="00C7144C"/>
    <w:rsid w:val="00C932E4"/>
    <w:rsid w:val="00CB6F2C"/>
    <w:rsid w:val="00CD413B"/>
    <w:rsid w:val="00CF4D77"/>
    <w:rsid w:val="00D30722"/>
    <w:rsid w:val="00D50FE1"/>
    <w:rsid w:val="00D72E51"/>
    <w:rsid w:val="00D92610"/>
    <w:rsid w:val="00D96C42"/>
    <w:rsid w:val="00DB0DC3"/>
    <w:rsid w:val="00E14679"/>
    <w:rsid w:val="00E415D8"/>
    <w:rsid w:val="00E52A78"/>
    <w:rsid w:val="00E53FD5"/>
    <w:rsid w:val="00E54D43"/>
    <w:rsid w:val="00E664DE"/>
    <w:rsid w:val="00E67AB7"/>
    <w:rsid w:val="00E708AC"/>
    <w:rsid w:val="00E9226A"/>
    <w:rsid w:val="00F039CD"/>
    <w:rsid w:val="00F05B61"/>
    <w:rsid w:val="00F0654C"/>
    <w:rsid w:val="00F07355"/>
    <w:rsid w:val="00F076D8"/>
    <w:rsid w:val="00F10D92"/>
    <w:rsid w:val="00F13C77"/>
    <w:rsid w:val="00F21E90"/>
    <w:rsid w:val="00F22B76"/>
    <w:rsid w:val="00F44AE1"/>
    <w:rsid w:val="00F926B8"/>
    <w:rsid w:val="00FA539F"/>
    <w:rsid w:val="00FA6138"/>
    <w:rsid w:val="00FA6544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8AA24"/>
  <w15:docId w15:val="{793BAFE1-5B92-480A-8E13-ADA6A2A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9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9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0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6E"/>
  </w:style>
  <w:style w:type="paragraph" w:styleId="Footer">
    <w:name w:val="footer"/>
    <w:basedOn w:val="Normal"/>
    <w:link w:val="FooterChar"/>
    <w:uiPriority w:val="99"/>
    <w:unhideWhenUsed/>
    <w:rsid w:val="00AC7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6E"/>
  </w:style>
  <w:style w:type="table" w:customStyle="1" w:styleId="GridTable4-Accent51">
    <w:name w:val="Grid Table 4 - Accent 51"/>
    <w:basedOn w:val="TableNormal"/>
    <w:uiPriority w:val="49"/>
    <w:rsid w:val="002E55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558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83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C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3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39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0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lancaster.ac.uk/intranet/services/policies-and-procedures/general-data-protection-regulations-gdpr/about-gdpr/social-media-guidance-for-researchers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lancaster.ac.uk/research/research-services/news-and-funding-opportunit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ancaster.ac.uk/research/research-services/research-integrity-ethics--governance/research-miscondu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io.org/publications/misconduct-investigation-procedu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Becky</dc:creator>
  <cp:lastModifiedBy>O'Donnell, Claire</cp:lastModifiedBy>
  <cp:revision>5</cp:revision>
  <cp:lastPrinted>2019-10-21T16:18:00Z</cp:lastPrinted>
  <dcterms:created xsi:type="dcterms:W3CDTF">2021-10-19T12:58:00Z</dcterms:created>
  <dcterms:modified xsi:type="dcterms:W3CDTF">2021-10-20T14:46:00Z</dcterms:modified>
</cp:coreProperties>
</file>